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Pr>
        <w:jc w:val="center"/>
      </w:pPr>
      <w:r>
        <w:rPr>
          <w:b/>
          <w:color w:val="1A56DB"/>
          <w:sz w:val="52"/>
        </w:rPr>
        <w:t>南京晓庄学院陶行知RAG检索增强</w:t>
        <w:br/>
        <w:t>开发管理平台</w:t>
      </w:r>
    </w:p>
    <w:p/>
    <w:p>
      <w:pPr>
        <w:jc w:val="center"/>
      </w:pPr>
      <w:r>
        <w:rPr>
          <w:b/>
          <w:color w:val="1E293A"/>
          <w:sz w:val="40"/>
        </w:rPr>
        <w:t>技  术  方  案</w:t>
      </w:r>
    </w:p>
    <w:p/>
    <w:p/>
    <w:p/>
    <w:tbl>
      <w:tblPr>
        <w:tblStyle w:val="TableGrid"/>
        <w:tblW w:type="auto" w:w="0"/>
        <w:jc w:val="center"/>
        <w:tblLook w:firstColumn="1" w:firstRow="1" w:lastColumn="0" w:lastRow="0" w:noHBand="0" w:noVBand="1" w:val="04A0"/>
      </w:tblPr>
      <w:tblGrid>
        <w:gridCol w:w="4561"/>
        <w:gridCol w:w="4561"/>
      </w:tblGrid>
      <w:tr>
        <w:tc>
          <w:tcPr>
            <w:tcW w:type="dxa" w:w="4561"/>
          </w:tcPr>
          <w:p>
            <w:pPr>
              <w:jc w:val="center"/>
            </w:pPr>
            <w:r>
              <w:rPr>
                <w:color w:val="1A56DB"/>
                <w:sz w:val="21"/>
              </w:rPr>
              <w:t>项 目 编 号</w:t>
            </w:r>
          </w:p>
        </w:tc>
        <w:tc>
          <w:tcPr>
            <w:tcW w:type="dxa" w:w="4561"/>
          </w:tcPr>
          <w:p>
            <w:pPr>
              <w:jc w:val="center"/>
            </w:pPr>
            <w:r>
              <w:rPr>
                <w:color w:val="46556E"/>
                <w:sz w:val="21"/>
              </w:rPr>
              <w:t>JSZC-320000-G2026-0016</w:t>
            </w:r>
          </w:p>
        </w:tc>
      </w:tr>
      <w:tr>
        <w:tc>
          <w:tcPr>
            <w:tcW w:type="dxa" w:w="4561"/>
          </w:tcPr>
          <w:p>
            <w:pPr>
              <w:jc w:val="center"/>
            </w:pPr>
            <w:r>
              <w:rPr>
                <w:color w:val="46556E"/>
                <w:sz w:val="21"/>
              </w:rPr>
              <w:t>投 标 人</w:t>
            </w:r>
          </w:p>
        </w:tc>
        <w:tc>
          <w:tcPr>
            <w:tcW w:type="dxa" w:w="4561"/>
          </w:tcPr>
          <w:p>
            <w:pPr>
              <w:jc w:val="center"/>
            </w:pPr>
            <w:r>
              <w:rPr>
                <w:color w:val="46556E"/>
                <w:sz w:val="21"/>
              </w:rPr>
              <w:t>[投标人名称]</w:t>
            </w:r>
          </w:p>
        </w:tc>
      </w:tr>
      <w:tr>
        <w:tc>
          <w:tcPr>
            <w:tcW w:type="dxa" w:w="4561"/>
          </w:tcPr>
          <w:p>
            <w:pPr>
              <w:jc w:val="center"/>
            </w:pPr>
            <w:r>
              <w:rPr>
                <w:color w:val="1A56DB"/>
                <w:sz w:val="21"/>
              </w:rPr>
              <w:t>投 标 日期</w:t>
            </w:r>
          </w:p>
        </w:tc>
        <w:tc>
          <w:tcPr>
            <w:tcW w:type="dxa" w:w="4561"/>
          </w:tcPr>
          <w:p>
            <w:pPr>
              <w:jc w:val="center"/>
            </w:pPr>
            <w:r>
              <w:rPr>
                <w:color w:val="46556E"/>
                <w:sz w:val="21"/>
              </w:rPr>
              <w:t>2026年04月09日</w:t>
            </w:r>
          </w:p>
        </w:tc>
      </w:tr>
      <w:tr>
        <w:tc>
          <w:tcPr>
            <w:tcW w:type="dxa" w:w="4561"/>
          </w:tcPr>
          <w:p>
            <w:pPr>
              <w:jc w:val="center"/>
            </w:pPr>
            <w:r>
              <w:rPr>
                <w:color w:val="46556E"/>
                <w:sz w:val="21"/>
              </w:rPr>
              <w:t>联 系 人</w:t>
            </w:r>
          </w:p>
        </w:tc>
        <w:tc>
          <w:tcPr>
            <w:tcW w:type="dxa" w:w="4561"/>
          </w:tcPr>
          <w:p>
            <w:pPr>
              <w:jc w:val="center"/>
            </w:pPr>
            <w:r>
              <w:rPr>
                <w:color w:val="46556E"/>
                <w:sz w:val="21"/>
              </w:rPr>
              <w:t>江苏省政府采购中心</w:t>
            </w:r>
          </w:p>
        </w:tc>
      </w:tr>
      <w:tr>
        <w:tc>
          <w:tcPr>
            <w:tcW w:type="dxa" w:w="4561"/>
          </w:tcPr>
          <w:p>
            <w:pPr>
              <w:jc w:val="center"/>
            </w:pPr>
            <w:r>
              <w:rPr>
                <w:color w:val="1A56DB"/>
                <w:sz w:val="21"/>
              </w:rPr>
              <w:t>联 系 电 话</w:t>
            </w:r>
          </w:p>
        </w:tc>
        <w:tc>
          <w:tcPr>
            <w:tcW w:type="dxa" w:w="4561"/>
          </w:tcPr>
          <w:p>
            <w:pPr>
              <w:jc w:val="center"/>
            </w:pPr>
            <w:r>
              <w:rPr>
                <w:color w:val="46556E"/>
                <w:sz w:val="21"/>
              </w:rPr>
              <w:t>025-XXXXXXXX</w:t>
            </w:r>
          </w:p>
        </w:tc>
      </w:tr>
    </w:tbl>
    <w:p>
      <w:r>
        <w:br w:type="page"/>
      </w:r>
    </w:p>
    <w:p>
      <w:pPr>
        <w:pStyle w:val="Heading1"/>
        <w:jc w:val="left"/>
      </w:pPr>
      <w:r>
        <w:rPr>
          <w:b/>
          <w:color w:val="1A56DB"/>
          <w:sz w:val="36"/>
        </w:rPr>
        <w:t>目  录</w:t>
      </w:r>
    </w:p>
    <w:p>
      <w:pPr>
        <w:ind w:left="0"/>
      </w:pPr>
      <w:r>
        <w:rPr>
          <w:b/>
          <w:color w:val="1A56DB"/>
          <w:sz w:val="21"/>
        </w:rPr>
        <w:t xml:space="preserve">1.  </w:t>
      </w:r>
      <w:r>
        <w:rPr>
          <w:color w:val="46556E"/>
          <w:sz w:val="21"/>
        </w:rPr>
        <w:t>项目需求与服务内容的阐述与分析</w:t>
      </w:r>
      <w:r>
        <w:rPr>
          <w:color w:val="46556E"/>
          <w:sz w:val="21"/>
        </w:rPr>
        <w:t xml:space="preserve"> ··········································· 3</w:t>
      </w:r>
    </w:p>
    <w:p>
      <w:pPr>
        <w:ind w:left="283"/>
      </w:pPr>
      <w:r>
        <w:rPr>
          <w:b/>
          <w:color w:val="1A56DB"/>
          <w:sz w:val="21"/>
        </w:rPr>
        <w:t xml:space="preserve">1.1  </w:t>
      </w:r>
      <w:r>
        <w:rPr>
          <w:color w:val="46556E"/>
          <w:sz w:val="21"/>
        </w:rPr>
        <w:t>项目背景与核心目标理解</w:t>
      </w:r>
      <w:r>
        <w:rPr>
          <w:color w:val="46556E"/>
          <w:sz w:val="21"/>
        </w:rPr>
        <w:t xml:space="preserve"> ·············································· 3</w:t>
      </w:r>
    </w:p>
    <w:p>
      <w:pPr>
        <w:ind w:left="283"/>
      </w:pPr>
      <w:r>
        <w:rPr>
          <w:b/>
          <w:color w:val="1A56DB"/>
          <w:sz w:val="21"/>
        </w:rPr>
        <w:t xml:space="preserve">1.1.1  </w:t>
      </w:r>
      <w:r>
        <w:rPr>
          <w:color w:val="46556E"/>
          <w:sz w:val="21"/>
        </w:rPr>
        <w:t>数字中国战略下的教育智能化转型浪潮</w:t>
      </w:r>
      <w:r>
        <w:rPr>
          <w:color w:val="46556E"/>
          <w:sz w:val="21"/>
        </w:rPr>
        <w:t xml:space="preserve"> ······································ 3</w:t>
      </w:r>
    </w:p>
    <w:p>
      <w:pPr>
        <w:ind w:left="283"/>
      </w:pPr>
      <w:r>
        <w:rPr>
          <w:b/>
          <w:color w:val="1A56DB"/>
          <w:sz w:val="21"/>
        </w:rPr>
        <w:t xml:space="preserve">1.1.2  </w:t>
      </w:r>
      <w:r>
        <w:rPr>
          <w:color w:val="46556E"/>
          <w:sz w:val="21"/>
        </w:rPr>
        <w:t>从数据沉睡到智能涌现的迫切需求</w:t>
      </w:r>
      <w:r>
        <w:rPr>
          <w:color w:val="46556E"/>
          <w:sz w:val="21"/>
        </w:rPr>
        <w:t xml:space="preserve"> ········································ 4</w:t>
      </w:r>
    </w:p>
    <w:p>
      <w:pPr>
        <w:ind w:left="283"/>
      </w:pPr>
      <w:r>
        <w:rPr>
          <w:b/>
          <w:color w:val="1A56DB"/>
          <w:sz w:val="21"/>
        </w:rPr>
        <w:t xml:space="preserve">1.1.2.1  </w:t>
      </w:r>
      <w:r>
        <w:rPr>
          <w:color w:val="46556E"/>
          <w:sz w:val="21"/>
        </w:rPr>
        <w:t>数据价值释放的"最后一公里"障碍</w:t>
      </w:r>
      <w:r>
        <w:rPr>
          <w:color w:val="46556E"/>
          <w:sz w:val="21"/>
        </w:rPr>
        <w:t xml:space="preserve"> ····································· 4</w:t>
      </w:r>
    </w:p>
    <w:p>
      <w:pPr>
        <w:ind w:left="283"/>
      </w:pPr>
      <w:r>
        <w:rPr>
          <w:b/>
          <w:color w:val="1A56DB"/>
          <w:sz w:val="21"/>
        </w:rPr>
        <w:t xml:space="preserve">1.1.2.2  </w:t>
      </w:r>
      <w:r>
        <w:rPr>
          <w:color w:val="46556E"/>
          <w:sz w:val="21"/>
        </w:rPr>
        <w:t>智能化应用创新的"高门槛"困境</w:t>
      </w:r>
      <w:r>
        <w:rPr>
          <w:color w:val="46556E"/>
          <w:sz w:val="21"/>
        </w:rPr>
        <w:t xml:space="preserve"> ······································ 4</w:t>
      </w:r>
    </w:p>
    <w:p>
      <w:pPr>
        <w:ind w:left="283"/>
      </w:pPr>
      <w:r>
        <w:rPr>
          <w:b/>
          <w:color w:val="1A56DB"/>
          <w:sz w:val="21"/>
        </w:rPr>
        <w:t xml:space="preserve">1.1.2.3  </w:t>
      </w:r>
      <w:r>
        <w:rPr>
          <w:color w:val="46556E"/>
          <w:sz w:val="21"/>
        </w:rPr>
        <w:t>知识资产管理的"碎片化"状态</w:t>
      </w:r>
      <w:r>
        <w:rPr>
          <w:color w:val="46556E"/>
          <w:sz w:val="21"/>
        </w:rPr>
        <w:t xml:space="preserve"> ······································· 5</w:t>
      </w:r>
    </w:p>
    <w:p>
      <w:pPr>
        <w:ind w:left="283"/>
      </w:pPr>
      <w:r>
        <w:rPr>
          <w:b/>
          <w:color w:val="1A56DB"/>
          <w:sz w:val="21"/>
        </w:rPr>
        <w:t xml:space="preserve">1.1.2.4  </w:t>
      </w:r>
      <w:r>
        <w:rPr>
          <w:color w:val="46556E"/>
          <w:sz w:val="21"/>
        </w:rPr>
        <w:t>技术架构的"可持续性"挑战</w:t>
      </w:r>
      <w:r>
        <w:rPr>
          <w:color w:val="46556E"/>
          <w:sz w:val="21"/>
        </w:rPr>
        <w:t xml:space="preserve"> ········································ 5</w:t>
      </w:r>
    </w:p>
    <w:p>
      <w:pPr>
        <w:ind w:left="283"/>
      </w:pPr>
      <w:r>
        <w:rPr>
          <w:b/>
          <w:color w:val="1A56DB"/>
          <w:sz w:val="21"/>
        </w:rPr>
        <w:t xml:space="preserve">1.1.3  </w:t>
      </w:r>
      <w:r>
        <w:rPr>
          <w:color w:val="46556E"/>
          <w:sz w:val="21"/>
        </w:rPr>
        <w:t>核心目标：打造三位一体的AI数智中枢</w:t>
      </w:r>
      <w:r>
        <w:rPr>
          <w:color w:val="46556E"/>
          <w:sz w:val="21"/>
        </w:rPr>
        <w:t xml:space="preserve"> ····································· 5</w:t>
      </w:r>
    </w:p>
    <w:p>
      <w:pPr>
        <w:ind w:left="283"/>
      </w:pPr>
      <w:r>
        <w:rPr>
          <w:b/>
          <w:color w:val="1A56DB"/>
          <w:sz w:val="21"/>
        </w:rPr>
        <w:t xml:space="preserve">1.2  </w:t>
      </w:r>
      <w:r>
        <w:rPr>
          <w:color w:val="46556E"/>
          <w:sz w:val="21"/>
        </w:rPr>
        <w:t>平台功能需求分析与理解</w:t>
      </w:r>
      <w:r>
        <w:rPr>
          <w:color w:val="46556E"/>
          <w:sz w:val="21"/>
        </w:rPr>
        <w:t xml:space="preserve"> ·············································· 6</w:t>
      </w:r>
    </w:p>
    <w:p>
      <w:pPr>
        <w:ind w:left="283"/>
      </w:pPr>
      <w:r>
        <w:rPr>
          <w:b/>
          <w:color w:val="1A56DB"/>
          <w:sz w:val="21"/>
        </w:rPr>
        <w:t xml:space="preserve">1.3  </w:t>
      </w:r>
      <w:r>
        <w:rPr>
          <w:color w:val="46556E"/>
          <w:sz w:val="21"/>
        </w:rPr>
        <w:t>项目实施与服务保障体系专项理解</w:t>
      </w:r>
      <w:r>
        <w:rPr>
          <w:color w:val="46556E"/>
          <w:sz w:val="21"/>
        </w:rPr>
        <w:t xml:space="preserve"> ·········································· 8</w:t>
      </w:r>
    </w:p>
    <w:p>
      <w:pPr>
        <w:ind w:left="283"/>
      </w:pPr>
      <w:r>
        <w:rPr>
          <w:b/>
          <w:color w:val="1A56DB"/>
          <w:sz w:val="21"/>
        </w:rPr>
        <w:t xml:space="preserve">1.4  </w:t>
      </w:r>
      <w:r>
        <w:rPr>
          <w:color w:val="46556E"/>
          <w:sz w:val="21"/>
        </w:rPr>
        <w:t>项目综合重难点与一体化应对策略</w:t>
      </w:r>
      <w:r>
        <w:rPr>
          <w:color w:val="46556E"/>
          <w:sz w:val="21"/>
        </w:rPr>
        <w:t xml:space="preserve"> ·········································· 9</w:t>
      </w:r>
    </w:p>
    <w:p>
      <w:pPr>
        <w:ind w:left="0"/>
      </w:pPr>
      <w:r>
        <w:rPr>
          <w:b/>
          <w:color w:val="1A56DB"/>
          <w:sz w:val="21"/>
        </w:rPr>
        <w:t xml:space="preserve">2.  </w:t>
      </w:r>
      <w:r>
        <w:rPr>
          <w:color w:val="46556E"/>
          <w:sz w:val="21"/>
        </w:rPr>
        <w:t>项目总体规划设计</w:t>
      </w:r>
      <w:r>
        <w:rPr>
          <w:color w:val="46556E"/>
          <w:sz w:val="21"/>
        </w:rPr>
        <w:t xml:space="preserve"> ·················································· 10</w:t>
      </w:r>
    </w:p>
    <w:p>
      <w:pPr>
        <w:ind w:left="283"/>
      </w:pPr>
      <w:r>
        <w:rPr>
          <w:b/>
          <w:color w:val="1A56DB"/>
          <w:sz w:val="21"/>
        </w:rPr>
        <w:t xml:space="preserve">2.1  </w:t>
      </w:r>
      <w:r>
        <w:rPr>
          <w:color w:val="46556E"/>
          <w:sz w:val="21"/>
        </w:rPr>
        <w:t>总体设计原则与思路</w:t>
      </w:r>
      <w:r>
        <w:rPr>
          <w:color w:val="46556E"/>
          <w:sz w:val="21"/>
        </w:rPr>
        <w:t xml:space="preserve"> ················································ 10</w:t>
      </w:r>
    </w:p>
    <w:p>
      <w:pPr>
        <w:ind w:left="283"/>
      </w:pPr>
      <w:r>
        <w:rPr>
          <w:b/>
          <w:color w:val="1A56DB"/>
          <w:sz w:val="21"/>
        </w:rPr>
        <w:t xml:space="preserve">2.2  </w:t>
      </w:r>
      <w:r>
        <w:rPr>
          <w:color w:val="46556E"/>
          <w:sz w:val="21"/>
        </w:rPr>
        <w:t>总体架构设计</w:t>
      </w:r>
      <w:r>
        <w:rPr>
          <w:color w:val="46556E"/>
          <w:sz w:val="21"/>
        </w:rPr>
        <w:t xml:space="preserve"> ··················································· 12</w:t>
      </w:r>
    </w:p>
    <w:p>
      <w:pPr>
        <w:ind w:left="283"/>
      </w:pPr>
      <w:r>
        <w:rPr>
          <w:b/>
          <w:color w:val="1A56DB"/>
          <w:sz w:val="21"/>
        </w:rPr>
        <w:t xml:space="preserve">2.3  </w:t>
      </w:r>
      <w:r>
        <w:rPr>
          <w:color w:val="46556E"/>
          <w:sz w:val="21"/>
        </w:rPr>
        <w:t>平台核心模块设计</w:t>
      </w:r>
      <w:r>
        <w:rPr>
          <w:color w:val="46556E"/>
          <w:sz w:val="21"/>
        </w:rPr>
        <w:t xml:space="preserve"> ················································· 16</w:t>
      </w:r>
    </w:p>
    <w:p>
      <w:pPr>
        <w:ind w:left="283"/>
      </w:pPr>
      <w:r>
        <w:rPr>
          <w:b/>
          <w:color w:val="1A56DB"/>
          <w:sz w:val="21"/>
        </w:rPr>
        <w:t xml:space="preserve">2.4  </w:t>
      </w:r>
      <w:r>
        <w:rPr>
          <w:color w:val="46556E"/>
          <w:sz w:val="21"/>
        </w:rPr>
        <w:t>系统集成与扩展设计</w:t>
      </w:r>
      <w:r>
        <w:rPr>
          <w:color w:val="46556E"/>
          <w:sz w:val="21"/>
        </w:rPr>
        <w:t xml:space="preserve"> ················································ 20</w:t>
      </w:r>
    </w:p>
    <w:p>
      <w:pPr>
        <w:ind w:left="283"/>
      </w:pPr>
      <w:r>
        <w:rPr>
          <w:b/>
          <w:color w:val="1A56DB"/>
          <w:sz w:val="21"/>
        </w:rPr>
        <w:t xml:space="preserve">2.5  </w:t>
      </w:r>
      <w:r>
        <w:rPr>
          <w:color w:val="46556E"/>
          <w:sz w:val="21"/>
        </w:rPr>
        <w:t>安全与运维保障设计</w:t>
      </w:r>
      <w:r>
        <w:rPr>
          <w:color w:val="46556E"/>
          <w:sz w:val="21"/>
        </w:rPr>
        <w:t xml:space="preserve"> ················································ 22</w:t>
      </w:r>
    </w:p>
    <w:p>
      <w:pPr>
        <w:ind w:left="283"/>
      </w:pPr>
      <w:r>
        <w:rPr>
          <w:b/>
          <w:color w:val="1A56DB"/>
          <w:sz w:val="21"/>
        </w:rPr>
        <w:t xml:space="preserve">2.6  </w:t>
      </w:r>
      <w:r>
        <w:rPr>
          <w:color w:val="46556E"/>
          <w:sz w:val="21"/>
        </w:rPr>
        <w:t>标准化与合规性设计</w:t>
      </w:r>
      <w:r>
        <w:rPr>
          <w:color w:val="46556E"/>
          <w:sz w:val="21"/>
        </w:rPr>
        <w:t xml:space="preserve"> ················································ 25</w:t>
      </w:r>
    </w:p>
    <w:p>
      <w:pPr>
        <w:ind w:left="0"/>
      </w:pPr>
      <w:r>
        <w:rPr>
          <w:b/>
          <w:color w:val="1A56DB"/>
          <w:sz w:val="21"/>
        </w:rPr>
        <w:t xml:space="preserve">3.  </w:t>
      </w:r>
      <w:r>
        <w:rPr>
          <w:color w:val="46556E"/>
          <w:sz w:val="21"/>
        </w:rPr>
        <w:t>项目实施计划方案</w:t>
      </w:r>
      <w:r>
        <w:rPr>
          <w:color w:val="46556E"/>
          <w:sz w:val="21"/>
        </w:rPr>
        <w:t xml:space="preserve"> ·················································· 27</w:t>
      </w:r>
    </w:p>
    <w:p>
      <w:pPr>
        <w:ind w:left="283"/>
      </w:pPr>
      <w:r>
        <w:rPr>
          <w:b/>
          <w:color w:val="1A56DB"/>
          <w:sz w:val="21"/>
        </w:rPr>
        <w:t xml:space="preserve">3.1  </w:t>
      </w:r>
      <w:r>
        <w:rPr>
          <w:color w:val="46556E"/>
          <w:sz w:val="21"/>
        </w:rPr>
        <w:t>项目总体策略与原则</w:t>
      </w:r>
      <w:r>
        <w:rPr>
          <w:color w:val="46556E"/>
          <w:sz w:val="21"/>
        </w:rPr>
        <w:t xml:space="preserve"> ················································ 27</w:t>
      </w:r>
    </w:p>
    <w:p>
      <w:pPr>
        <w:ind w:left="283"/>
      </w:pPr>
      <w:r>
        <w:rPr>
          <w:b/>
          <w:color w:val="1A56DB"/>
          <w:sz w:val="21"/>
        </w:rPr>
        <w:t xml:space="preserve">3.2  </w:t>
      </w:r>
      <w:r>
        <w:rPr>
          <w:color w:val="46556E"/>
          <w:sz w:val="21"/>
        </w:rPr>
        <w:t>项目实施里程碑计划</w:t>
      </w:r>
      <w:r>
        <w:rPr>
          <w:color w:val="46556E"/>
          <w:sz w:val="21"/>
        </w:rPr>
        <w:t xml:space="preserve"> ················································ 30</w:t>
      </w:r>
    </w:p>
    <w:p>
      <w:pPr>
        <w:ind w:left="283"/>
      </w:pPr>
      <w:r>
        <w:rPr>
          <w:b/>
          <w:color w:val="1A56DB"/>
          <w:sz w:val="21"/>
        </w:rPr>
        <w:t xml:space="preserve">3.3  </w:t>
      </w:r>
      <w:r>
        <w:rPr>
          <w:color w:val="46556E"/>
          <w:sz w:val="21"/>
        </w:rPr>
        <w:t>项目团队与职责分工</w:t>
      </w:r>
      <w:r>
        <w:rPr>
          <w:color w:val="46556E"/>
          <w:sz w:val="21"/>
        </w:rPr>
        <w:t xml:space="preserve"> ················································ 31</w:t>
      </w:r>
    </w:p>
    <w:p>
      <w:pPr>
        <w:ind w:left="283"/>
      </w:pPr>
      <w:r>
        <w:rPr>
          <w:b/>
          <w:color w:val="1A56DB"/>
          <w:sz w:val="21"/>
        </w:rPr>
        <w:t xml:space="preserve">3.4  </w:t>
      </w:r>
      <w:r>
        <w:rPr>
          <w:color w:val="46556E"/>
          <w:sz w:val="21"/>
        </w:rPr>
        <w:t>知识库建设实施计划</w:t>
      </w:r>
      <w:r>
        <w:rPr>
          <w:color w:val="46556E"/>
          <w:sz w:val="21"/>
        </w:rPr>
        <w:t xml:space="preserve"> ················································ 32</w:t>
      </w:r>
    </w:p>
    <w:p>
      <w:pPr>
        <w:ind w:left="283"/>
      </w:pPr>
      <w:r>
        <w:rPr>
          <w:b/>
          <w:color w:val="1A56DB"/>
          <w:sz w:val="21"/>
        </w:rPr>
        <w:t xml:space="preserve">3.5  </w:t>
      </w:r>
      <w:r>
        <w:rPr>
          <w:color w:val="46556E"/>
          <w:sz w:val="21"/>
        </w:rPr>
        <w:t>平台开发实施计划</w:t>
      </w:r>
      <w:r>
        <w:rPr>
          <w:color w:val="46556E"/>
          <w:sz w:val="21"/>
        </w:rPr>
        <w:t xml:space="preserve"> ················································· 33</w:t>
      </w:r>
    </w:p>
    <w:p>
      <w:pPr>
        <w:ind w:left="283"/>
      </w:pPr>
      <w:r>
        <w:rPr>
          <w:b/>
          <w:color w:val="1A56DB"/>
          <w:sz w:val="21"/>
        </w:rPr>
        <w:t xml:space="preserve">3.6  </w:t>
      </w:r>
      <w:r>
        <w:rPr>
          <w:color w:val="46556E"/>
          <w:sz w:val="21"/>
        </w:rPr>
        <w:t>系统集成与测试计划</w:t>
      </w:r>
      <w:r>
        <w:rPr>
          <w:color w:val="46556E"/>
          <w:sz w:val="21"/>
        </w:rPr>
        <w:t xml:space="preserve"> ················································ 34</w:t>
      </w:r>
    </w:p>
    <w:p>
      <w:pPr>
        <w:ind w:left="283"/>
      </w:pPr>
      <w:r>
        <w:rPr>
          <w:b/>
          <w:color w:val="1A56DB"/>
          <w:sz w:val="21"/>
        </w:rPr>
        <w:t xml:space="preserve">3.7  </w:t>
      </w:r>
      <w:r>
        <w:rPr>
          <w:color w:val="46556E"/>
          <w:sz w:val="21"/>
        </w:rPr>
        <w:t>培训与交付计划</w:t>
      </w:r>
      <w:r>
        <w:rPr>
          <w:color w:val="46556E"/>
          <w:sz w:val="21"/>
        </w:rPr>
        <w:t xml:space="preserve"> ·················································· 35</w:t>
      </w:r>
    </w:p>
    <w:p>
      <w:pPr>
        <w:ind w:left="0"/>
      </w:pPr>
      <w:r>
        <w:rPr>
          <w:b/>
          <w:color w:val="1A56DB"/>
          <w:sz w:val="21"/>
        </w:rPr>
        <w:t xml:space="preserve">4.  </w:t>
      </w:r>
      <w:r>
        <w:rPr>
          <w:color w:val="46556E"/>
          <w:sz w:val="21"/>
        </w:rPr>
        <w:t>技术实现方案</w:t>
      </w:r>
      <w:r>
        <w:rPr>
          <w:color w:val="46556E"/>
          <w:sz w:val="21"/>
        </w:rPr>
        <w:t xml:space="preserve"> ···················································· 36</w:t>
      </w:r>
    </w:p>
    <w:p>
      <w:pPr>
        <w:ind w:left="283"/>
      </w:pPr>
      <w:r>
        <w:rPr>
          <w:b/>
          <w:color w:val="1A56DB"/>
          <w:sz w:val="21"/>
        </w:rPr>
        <w:t xml:space="preserve">4.1  </w:t>
      </w:r>
      <w:r>
        <w:rPr>
          <w:color w:val="46556E"/>
          <w:sz w:val="21"/>
        </w:rPr>
        <w:t>RAG检索增强技术方案</w:t>
      </w:r>
      <w:r>
        <w:rPr>
          <w:color w:val="46556E"/>
          <w:sz w:val="21"/>
        </w:rPr>
        <w:t xml:space="preserve"> ·············································· 36</w:t>
      </w:r>
    </w:p>
    <w:p>
      <w:pPr>
        <w:ind w:left="283"/>
      </w:pPr>
      <w:r>
        <w:rPr>
          <w:b/>
          <w:color w:val="1A56DB"/>
          <w:sz w:val="21"/>
        </w:rPr>
        <w:t xml:space="preserve">4.2  </w:t>
      </w:r>
      <w:r>
        <w:rPr>
          <w:color w:val="46556E"/>
          <w:sz w:val="21"/>
        </w:rPr>
        <w:t>大语言模型集成方案</w:t>
      </w:r>
      <w:r>
        <w:rPr>
          <w:color w:val="46556E"/>
          <w:sz w:val="21"/>
        </w:rPr>
        <w:t xml:space="preserve"> ················································ 38</w:t>
      </w:r>
    </w:p>
    <w:p>
      <w:pPr>
        <w:ind w:left="283"/>
      </w:pPr>
      <w:r>
        <w:rPr>
          <w:b/>
          <w:color w:val="1A56DB"/>
          <w:sz w:val="21"/>
        </w:rPr>
        <w:t xml:space="preserve">4.3  </w:t>
      </w:r>
      <w:r>
        <w:rPr>
          <w:color w:val="46556E"/>
          <w:sz w:val="21"/>
        </w:rPr>
        <w:t>知识库检索优化方案</w:t>
      </w:r>
      <w:r>
        <w:rPr>
          <w:color w:val="46556E"/>
          <w:sz w:val="21"/>
        </w:rPr>
        <w:t xml:space="preserve"> ················································ 40</w:t>
      </w:r>
    </w:p>
    <w:p>
      <w:pPr>
        <w:ind w:left="283"/>
      </w:pPr>
      <w:r>
        <w:rPr>
          <w:b/>
          <w:color w:val="1A56DB"/>
          <w:sz w:val="21"/>
        </w:rPr>
        <w:t xml:space="preserve">4.4  </w:t>
      </w:r>
      <w:r>
        <w:rPr>
          <w:color w:val="46556E"/>
          <w:sz w:val="21"/>
        </w:rPr>
        <w:t>用户画像技术方案</w:t>
      </w:r>
      <w:r>
        <w:rPr>
          <w:color w:val="46556E"/>
          <w:sz w:val="21"/>
        </w:rPr>
        <w:t xml:space="preserve"> ················································· 42</w:t>
      </w:r>
    </w:p>
    <w:p>
      <w:pPr>
        <w:ind w:left="283"/>
      </w:pPr>
      <w:r>
        <w:rPr>
          <w:b/>
          <w:color w:val="1A56DB"/>
          <w:sz w:val="21"/>
        </w:rPr>
        <w:t xml:space="preserve">4.5  </w:t>
      </w:r>
      <w:r>
        <w:rPr>
          <w:color w:val="46556E"/>
          <w:sz w:val="21"/>
        </w:rPr>
        <w:t>系统性能优化方案</w:t>
      </w:r>
      <w:r>
        <w:rPr>
          <w:color w:val="46556E"/>
          <w:sz w:val="21"/>
        </w:rPr>
        <w:t xml:space="preserve"> ················································· 44</w:t>
      </w:r>
    </w:p>
    <w:p>
      <w:pPr>
        <w:ind w:left="0"/>
      </w:pPr>
      <w:r>
        <w:rPr>
          <w:b/>
          <w:color w:val="1A56DB"/>
          <w:sz w:val="21"/>
        </w:rPr>
        <w:t xml:space="preserve">5.  </w:t>
      </w:r>
      <w:r>
        <w:rPr>
          <w:color w:val="46556E"/>
          <w:sz w:val="21"/>
        </w:rPr>
        <w:t>运维保障与安全方案</w:t>
      </w:r>
      <w:r>
        <w:rPr>
          <w:color w:val="46556E"/>
          <w:sz w:val="21"/>
        </w:rPr>
        <w:t xml:space="preserve"> ················································· 46</w:t>
      </w:r>
    </w:p>
    <w:p>
      <w:pPr>
        <w:ind w:left="283"/>
      </w:pPr>
      <w:r>
        <w:rPr>
          <w:b/>
          <w:color w:val="1A56DB"/>
          <w:sz w:val="21"/>
        </w:rPr>
        <w:t xml:space="preserve">5.1  </w:t>
      </w:r>
      <w:r>
        <w:rPr>
          <w:color w:val="46556E"/>
          <w:sz w:val="21"/>
        </w:rPr>
        <w:t>运维监控体系方案</w:t>
      </w:r>
      <w:r>
        <w:rPr>
          <w:color w:val="46556E"/>
          <w:sz w:val="21"/>
        </w:rPr>
        <w:t xml:space="preserve"> ················································· 46</w:t>
      </w:r>
    </w:p>
    <w:p>
      <w:pPr>
        <w:ind w:left="283"/>
      </w:pPr>
      <w:r>
        <w:rPr>
          <w:b/>
          <w:color w:val="1A56DB"/>
          <w:sz w:val="21"/>
        </w:rPr>
        <w:t xml:space="preserve">5.2  </w:t>
      </w:r>
      <w:r>
        <w:rPr>
          <w:color w:val="46556E"/>
          <w:sz w:val="21"/>
        </w:rPr>
        <w:t>故障应急响应方案</w:t>
      </w:r>
      <w:r>
        <w:rPr>
          <w:color w:val="46556E"/>
          <w:sz w:val="21"/>
        </w:rPr>
        <w:t xml:space="preserve"> ················································· 48</w:t>
      </w:r>
    </w:p>
    <w:p>
      <w:pPr>
        <w:ind w:left="283"/>
      </w:pPr>
      <w:r>
        <w:rPr>
          <w:b/>
          <w:color w:val="1A56DB"/>
          <w:sz w:val="21"/>
        </w:rPr>
        <w:t xml:space="preserve">5.3  </w:t>
      </w:r>
      <w:r>
        <w:rPr>
          <w:color w:val="46556E"/>
          <w:sz w:val="21"/>
        </w:rPr>
        <w:t>数据备份与恢复方案</w:t>
      </w:r>
      <w:r>
        <w:rPr>
          <w:color w:val="46556E"/>
          <w:sz w:val="21"/>
        </w:rPr>
        <w:t xml:space="preserve"> ················································ 49</w:t>
      </w:r>
    </w:p>
    <w:p>
      <w:pPr>
        <w:ind w:left="283"/>
      </w:pPr>
      <w:r>
        <w:rPr>
          <w:b/>
          <w:color w:val="1A56DB"/>
          <w:sz w:val="21"/>
        </w:rPr>
        <w:t xml:space="preserve">5.4  </w:t>
      </w:r>
      <w:r>
        <w:rPr>
          <w:color w:val="46556E"/>
          <w:sz w:val="21"/>
        </w:rPr>
        <w:t>安全防护体系方案</w:t>
      </w:r>
      <w:r>
        <w:rPr>
          <w:color w:val="46556E"/>
          <w:sz w:val="21"/>
        </w:rPr>
        <w:t xml:space="preserve"> ················································· 50</w:t>
      </w:r>
    </w:p>
    <w:p>
      <w:pPr>
        <w:ind w:left="283"/>
      </w:pPr>
      <w:r>
        <w:rPr>
          <w:b/>
          <w:color w:val="1A56DB"/>
          <w:sz w:val="21"/>
        </w:rPr>
        <w:t xml:space="preserve">5.5  </w:t>
      </w:r>
      <w:r>
        <w:rPr>
          <w:color w:val="46556E"/>
          <w:sz w:val="21"/>
        </w:rPr>
        <w:t>服务保障方案</w:t>
      </w:r>
      <w:r>
        <w:rPr>
          <w:color w:val="46556E"/>
          <w:sz w:val="21"/>
        </w:rPr>
        <w:t xml:space="preserve"> ··················································· 52</w:t>
      </w:r>
    </w:p>
    <w:p>
      <w:pPr>
        <w:ind w:left="0"/>
      </w:pPr>
      <w:r>
        <w:rPr>
          <w:b/>
          <w:color w:val="1A56DB"/>
          <w:sz w:val="21"/>
        </w:rPr>
        <w:t xml:space="preserve">6.  </w:t>
      </w:r>
      <w:r>
        <w:rPr>
          <w:color w:val="46556E"/>
          <w:sz w:val="21"/>
        </w:rPr>
        <w:t>验收标准与交付物</w:t>
      </w:r>
      <w:r>
        <w:rPr>
          <w:color w:val="46556E"/>
          <w:sz w:val="21"/>
        </w:rPr>
        <w:t xml:space="preserve"> ·················································· 54</w:t>
      </w:r>
    </w:p>
    <w:p>
      <w:pPr>
        <w:ind w:left="283"/>
      </w:pPr>
      <w:r>
        <w:rPr>
          <w:b/>
          <w:color w:val="1A56DB"/>
          <w:sz w:val="21"/>
        </w:rPr>
        <w:t xml:space="preserve">6.1  </w:t>
      </w:r>
      <w:r>
        <w:rPr>
          <w:color w:val="46556E"/>
          <w:sz w:val="21"/>
        </w:rPr>
        <w:t>验收标准与验收流程</w:t>
      </w:r>
      <w:r>
        <w:rPr>
          <w:color w:val="46556E"/>
          <w:sz w:val="21"/>
        </w:rPr>
        <w:t xml:space="preserve"> ················································ 54</w:t>
      </w:r>
    </w:p>
    <w:p>
      <w:pPr>
        <w:ind w:left="283"/>
      </w:pPr>
      <w:r>
        <w:rPr>
          <w:b/>
          <w:color w:val="1A56DB"/>
          <w:sz w:val="21"/>
        </w:rPr>
        <w:t xml:space="preserve">6.2  </w:t>
      </w:r>
      <w:r>
        <w:rPr>
          <w:color w:val="46556E"/>
          <w:sz w:val="21"/>
        </w:rPr>
        <w:t>交付物清单</w:t>
      </w:r>
      <w:r>
        <w:rPr>
          <w:color w:val="46556E"/>
          <w:sz w:val="21"/>
        </w:rPr>
        <w:t xml:space="preserve"> ···················································· 56</w:t>
      </w:r>
    </w:p>
    <w:p>
      <w:pPr>
        <w:ind w:left="283"/>
      </w:pPr>
      <w:r>
        <w:rPr>
          <w:b/>
          <w:color w:val="1A56DB"/>
          <w:sz w:val="21"/>
        </w:rPr>
        <w:t xml:space="preserve">6.3  </w:t>
      </w:r>
      <w:r>
        <w:rPr>
          <w:color w:val="46556E"/>
          <w:sz w:val="21"/>
        </w:rPr>
        <w:t>售后服务承诺</w:t>
      </w:r>
      <w:r>
        <w:rPr>
          <w:color w:val="46556E"/>
          <w:sz w:val="21"/>
        </w:rPr>
        <w:t xml:space="preserve"> ··················································· 57</w:t>
      </w:r>
    </w:p>
    <w:p>
      <w:r>
        <w:br w:type="page"/>
      </w:r>
    </w:p>
    <w:p>
      <w:pPr>
        <w:pStyle w:val="Heading1"/>
        <w:jc w:val="left"/>
      </w:pPr>
      <w:r>
        <w:rPr>
          <w:b/>
          <w:color w:val="1A56DB"/>
          <w:sz w:val="36"/>
        </w:rPr>
        <w:t>1. 项目需求与服务内容的阐述与分析</w:t>
      </w:r>
    </w:p>
    <w:p>
      <w:pPr>
        <w:pStyle w:val="Heading2"/>
        <w:jc w:val="left"/>
      </w:pPr>
      <w:r>
        <w:rPr>
          <w:b/>
          <w:color w:val="175E51"/>
          <w:sz w:val="30"/>
        </w:rPr>
        <w:t>平台系统架构总图</w:t>
      </w:r>
    </w:p>
    <w:p>
      <w:pPr>
        <w:jc w:val="center"/>
      </w:pPr>
      <w:r>
        <w:drawing>
          <wp:inline xmlns:a="http://schemas.openxmlformats.org/drawingml/2006/main" xmlns:pic="http://schemas.openxmlformats.org/drawingml/2006/picture">
            <wp:extent cx="5486400" cy="4148738"/>
            <wp:docPr id="1" name="Picture 1"/>
            <wp:cNvGraphicFramePr>
              <a:graphicFrameLocks noChangeAspect="1"/>
            </wp:cNvGraphicFramePr>
            <a:graphic>
              <a:graphicData uri="http://schemas.openxmlformats.org/drawingml/2006/picture">
                <pic:pic>
                  <pic:nvPicPr>
                    <pic:cNvPr id="0" name="01_rag_architecture.png"/>
                    <pic:cNvPicPr/>
                  </pic:nvPicPr>
                  <pic:blipFill>
                    <a:blip r:embed="rId9"/>
                    <a:stretch>
                      <a:fillRect/>
                    </a:stretch>
                  </pic:blipFill>
                  <pic:spPr>
                    <a:xfrm>
                      <a:off x="0" y="0"/>
                      <a:ext cx="5486400" cy="4148738"/>
                    </a:xfrm>
                    <a:prstGeom prst="rect"/>
                  </pic:spPr>
                </pic:pic>
              </a:graphicData>
            </a:graphic>
          </wp:inline>
        </w:drawing>
      </w:r>
    </w:p>
    <w:p>
      <w:pPr>
        <w:jc w:val="center"/>
      </w:pPr>
      <w:r>
        <w:rPr>
          <w:i/>
          <w:color w:val="46556E"/>
          <w:sz w:val="18"/>
        </w:rPr>
        <w:t>图1-1 陶行知RAG检索增强开发管理平台系统架构图</w:t>
      </w:r>
    </w:p>
    <w:p/>
    <w:p>
      <w:pPr>
        <w:pStyle w:val="Heading2"/>
        <w:jc w:val="left"/>
      </w:pPr>
      <w:r>
        <w:rPr>
          <w:b/>
          <w:color w:val="175E51"/>
          <w:sz w:val="30"/>
        </w:rPr>
        <w:t>1.1 项目背景与核心目标理解</w:t>
      </w:r>
    </w:p>
    <w:p>
      <w:pPr>
        <w:pStyle w:val="Heading3"/>
        <w:jc w:val="left"/>
      </w:pPr>
      <w:r>
        <w:rPr>
          <w:b/>
          <w:color w:val="6B46D1"/>
          <w:sz w:val="26"/>
        </w:rPr>
        <w:t>1.1.1 数字中国战略下的教育智能化转型浪潮</w:t>
      </w:r>
    </w:p>
    <w:p>
      <w:pPr>
        <w:jc w:val="both"/>
      </w:pPr>
      <w:r>
        <w:rPr>
          <w:color w:val="46556E"/>
          <w:sz w:val="21"/>
        </w:rPr>
        <w:t>在数字中国建设国家战略深入推进的时代背景下，教育领域的数字化转型已成为推动教育现代化、提升教育质量的关键驱动力。教育部相继出台《教育信息化2.0行动计划》《关于推进教育新型基础设施建设构建高质量教育支撑体系的指导意见》等一系列政策文件，明确提出要加快人工智能、大数据、云计算等新一代信息技术在教育领域的深度应用，推动教育治理模式变革，促进教育教学模式创新。党的二十大报告进一步强调要推进教育数字化，建设全民终身学习的学习型社会、学习型大国，这为教育智能化发展指明了方向，提供了根本遵循。</w:t>
      </w:r>
    </w:p>
    <w:p>
      <w:pPr>
        <w:jc w:val="both"/>
      </w:pPr>
      <w:r>
        <w:rPr>
          <w:color w:val="46556E"/>
          <w:sz w:val="21"/>
        </w:rPr>
        <w:t>南京晓庄学院作为一所以教师教育为特色的本科院校，始终坚持以陶行知教育思想为办学灵魂，积淀了深厚的陶行知研究底蕴。学校现有陶行知研究文献资料丰富，涵盖陶行知先生的手稿、书信、演讲记录、研究资料以及国内外学术界对陶行知教育思想的研究成果达150余篇（部），这些珍贵的文献资料是学校开展陶行知研究、传承行知精神的重要知识资产。然而，长期以来这些珍贵的数字化文献资料分散存储在学校各个业务系统中，未能形成统一的知识服务体系，难以充分发挥其在教学科研、学科建设、文化传承等方面的价值。</w:t>
      </w:r>
    </w:p>
    <w:p>
      <w:pPr>
        <w:jc w:val="both"/>
      </w:pPr>
      <w:r>
        <w:rPr>
          <w:color w:val="46556E"/>
          <w:sz w:val="21"/>
        </w:rPr>
        <w:t>当前，学校正处于建设特色鲜明的高水平应用型大学的关键时期，面临着提升人才培养质量、增强科研创新能力、优化学科建设水平等多重任务。如何充分利用人工智能技术，深度挖掘陶行知文献资料中的知识价值，构建智能化知识服务平台，为师生提供精准、高效、个性化的知识服务，已成为学校推进教育数字化转型的重要课题。同时，学校希望以陶行知文献知识库为核心数据底座，建设一个面向未来的智能应用开发平台，既能满足当前智能化应用落地的迫切需求，又能为未来更多教育场景的智能化拓展预留充足空间，从而加速人工智能在教育领域的深度应用与创新发展。</w:t>
      </w:r>
    </w:p>
    <w:p>
      <w:pPr>
        <w:pStyle w:val="Heading3"/>
        <w:jc w:val="left"/>
      </w:pPr>
      <w:r>
        <w:rPr>
          <w:b/>
          <w:color w:val="6B46D1"/>
          <w:sz w:val="26"/>
        </w:rPr>
        <w:t>1.1.2 从数据沉睡到智能涌现的迫切需求</w:t>
      </w:r>
    </w:p>
    <w:p>
      <w:pPr>
        <w:pStyle w:val="Heading4"/>
        <w:jc w:val="left"/>
      </w:pPr>
      <w:r>
        <w:rPr>
          <w:b/>
          <w:color w:val="1E293A"/>
          <w:sz w:val="22"/>
        </w:rPr>
        <w:t>1.1.2.1 数据价值释放的"最后一公里"障碍</w:t>
      </w:r>
    </w:p>
    <w:p>
      <w:pPr>
        <w:jc w:val="both"/>
      </w:pPr>
      <w:r>
        <w:rPr>
          <w:color w:val="46556E"/>
          <w:sz w:val="21"/>
        </w:rPr>
        <w:t>经过多年信息化建设，南京晓庄学院已积累了包括学籍管理系统、教务管理系统、科研管理系统、图书管理系统等多个业务系统的海量数据资源。然而，这些数据普遍存在"信息孤岛"现象，各个系统之间的数据标准不一致、数据格式不统一、数据质量参差不齐，导致数据难以互联互通、共享复用。更为关键的是，学校现有的陶行知文献资料虽然已经完成数字化，但仍然以静态的文本形式存在，缺乏智能化检索和知识关联能力。用户想要从海量文献中找到所需内容，往往需要花费大量时间进行人工检索和筛选，检索效率低下，知识发现困难。传统的关键词匹配检索方式无法理解用户的查询意图，无法提供语义层面的智能匹配，导致检索结果与用户需求之间存在较大偏差。这些问题严重制约了陶行知文献资料的知识价值发挥，形成了数据价值释放的"最后一公里"障碍。</w:t>
      </w:r>
    </w:p>
    <w:p>
      <w:pPr>
        <w:pStyle w:val="Heading4"/>
        <w:jc w:val="left"/>
      </w:pPr>
      <w:r>
        <w:rPr>
          <w:b/>
          <w:color w:val="1E293A"/>
          <w:sz w:val="22"/>
        </w:rPr>
        <w:t>1.1.2.2 智能化应用创新的"高门槛"困境</w:t>
      </w:r>
    </w:p>
    <w:p>
      <w:pPr>
        <w:jc w:val="both"/>
      </w:pPr>
      <w:r>
        <w:rPr>
          <w:color w:val="46556E"/>
          <w:sz w:val="21"/>
        </w:rPr>
        <w:t>人工智能技术的快速发展为教育智能化创新带来了前所未有的机遇，大语言模型、检索增强生成（RAG）、知识图谱等技术的成熟，使得构建智能化应用成为可能。然而，对于高校而言，开发和部署智能化应用仍然面临较高的技术门槛。一方面，智能化应用的开发需要掌握机器学习、自然语言处理、向量数据库等多领域的前沿技术，这对开发人员的技术能力提出了很高要求；另一方面，智能化应用的部署和运维需要强大的算力支撑和完善的基础设施配套，这对于一般高校而言是沉重的负担。此外，智能化应用的开发和迭代需要持续的技术投入和资源消耗，而高校普遍缺乏专业的技术团队和稳定的技术支撑体系，导致很多有价值的智能化应用创意难以落地实施。因此，如何降低智能化应用开发的技术门槛，让更多用户能够便捷地创建和使用智能化应用，是当前亟待解决的重要问题。</w:t>
      </w:r>
    </w:p>
    <w:p>
      <w:pPr>
        <w:pStyle w:val="Heading4"/>
        <w:jc w:val="left"/>
      </w:pPr>
      <w:r>
        <w:rPr>
          <w:b/>
          <w:color w:val="1E293A"/>
          <w:sz w:val="22"/>
        </w:rPr>
        <w:t>1.1.2.3 知识资产管理的"碎片化"状态</w:t>
      </w:r>
    </w:p>
    <w:p>
      <w:pPr>
        <w:jc w:val="both"/>
      </w:pPr>
      <w:r>
        <w:rPr>
          <w:color w:val="46556E"/>
          <w:sz w:val="21"/>
        </w:rPr>
        <w:t>南京晓庄学院的陶行知文献资料分散存储在学校图书馆档案系统、校史馆资料库、各院系研究资料库等多个存储位置，缺乏统一的知识管理和整合平台。这种分散存储的状况导致知识资产管理的碎片化问题突出：文献资料的元数据信息不完整、不规范，难以进行有效的组织和管理；不同来源的文献资料之间缺乏语义关联，难以形成知识网络；文献资料的更新和维护缺乏统一的流程和标准，导致知识库内容难以保持时效性和准确性。此外，由于缺乏有效的知识共享机制，不同院系、不同研究团队之间的研究成果难以共享复用，容易出现重复研究、资源浪费等问题。因此，建立统一、规范、智能化的知识管理体系，实现陶行知文献资料的集中管理、深度整合和便捷共享，是提升学校知识资产管理水平的重要举措。</w:t>
      </w:r>
    </w:p>
    <w:p>
      <w:pPr>
        <w:pStyle w:val="Heading4"/>
        <w:jc w:val="left"/>
      </w:pPr>
      <w:r>
        <w:rPr>
          <w:b/>
          <w:color w:val="1E293A"/>
          <w:sz w:val="22"/>
        </w:rPr>
        <w:t>1.1.2.4 技术架构的"可持续性"挑战</w:t>
      </w:r>
    </w:p>
    <w:p>
      <w:pPr>
        <w:jc w:val="both"/>
      </w:pPr>
      <w:r>
        <w:rPr>
          <w:color w:val="46556E"/>
          <w:sz w:val="21"/>
        </w:rPr>
        <w:t>智能化应用的技术选型和架构设计直接关系到系统的可扩展性、可维护性和可持续发展能力。当前市场上的人工智能技术和产品更新迭代速度极快，大语言模型每隔几个月就会更新换代，向量数据库、embedding 技术也在持续演进。如果系统的技术架构设计过于刚性、耦合度过高，一旦底层技术发生重大变化，整个系统可能面临推倒重来的风险。因此，在系统设计之初就需要充分考虑技术架构的灵活性和前瞻性，采用模块化、微服务化的设计思想，确保系统能够在技术演进过程中平滑升级，避免因技术迭代而导致的重复建设问题。同时，系统架构还需要考虑与学校现有信息系统的兼容和整合问题，确保新旧系统之间能够无缝对接，保护学校的现有投资。</w:t>
      </w:r>
    </w:p>
    <w:p>
      <w:pPr>
        <w:pStyle w:val="Heading3"/>
        <w:jc w:val="left"/>
      </w:pPr>
      <w:r>
        <w:rPr>
          <w:b/>
          <w:color w:val="6B46D1"/>
          <w:sz w:val="26"/>
        </w:rPr>
        <w:t>1.1.3 核心目标：打造三位一体的AI数智中枢</w:t>
      </w:r>
    </w:p>
    <w:p>
      <w:pPr>
        <w:jc w:val="both"/>
      </w:pPr>
      <w:r>
        <w:rPr>
          <w:color w:val="46556E"/>
          <w:sz w:val="21"/>
        </w:rPr>
        <w:t>基于上述背景分析和需求梳理，本项目的核心目标是建设一个以陶行知文献知识库为核心数据底座的"陶行知RAG检索增强开发管理平台"，为学校打造集"知识管理平台"、"智能应用平台"、"开发管理平台"于一体的三位一体的AI数智中枢。该平台需要实现以下核心能力：</w:t>
      </w:r>
    </w:p>
    <w:p>
      <w:pPr>
        <w:jc w:val="both"/>
      </w:pPr>
      <w:r>
        <w:rPr>
          <w:color w:val="46556E"/>
          <w:sz w:val="21"/>
        </w:rPr>
        <w:t>第一，构建一体化数据与AI能力基座。平台需要整合学校分散的陶行知文献资源，建立统一的陶行知知识库，并在此基础上构建完整的RAG检索增强能力，为上层智能应用提供强大的知识检索和语义理解支撑。平台需要支持多种文档格式的导入和解析，支持智能文本分块和向量化处理，支持混合检索和语义匹配，确保检索结果的准确性和完整性。</w:t>
      </w:r>
    </w:p>
    <w:p>
      <w:pPr>
        <w:jc w:val="both"/>
      </w:pPr>
      <w:r>
        <w:rPr>
          <w:color w:val="46556E"/>
          <w:sz w:val="21"/>
        </w:rPr>
        <w:t>第二，打造场景化智能应用与服务。平台需要提供丰富的智能应用模板和开发工具，使用户能够快速创建智能问答、知识检索、个性化推荐等多种类型的智能应用。平台需要支持基于用户画像的个性化服务，根据用户的身份、知识水平、偏好风格等特征提供定制化的回答内容。同时，平台还需要提供完善的应用监测和运维管理功能，实时跟踪应用运行状态，确保系统稳定可控。</w:t>
      </w:r>
    </w:p>
    <w:p>
      <w:pPr>
        <w:jc w:val="both"/>
      </w:pPr>
      <w:r>
        <w:rPr>
          <w:color w:val="46556E"/>
          <w:sz w:val="21"/>
        </w:rPr>
        <w:t>第三，构建全生命周期保障与赋能体系。平台不仅是一个技术工具，更是一个服务生态。平台需要提供完善的培训和支持服务，帮助用户快速掌握平台的使用方法，激发用户的创新灵感。平台需要建立持续优化的运营机制，通过数据闭环实现模型的自我进化，使系统越用越智能。平台还需要提供标准化的API接口和扩展机制，支持与学校智慧校园平台的无缝对接，为未来更多场景的智能化拓展奠定基础。</w:t>
      </w:r>
    </w:p>
    <w:p>
      <w:pPr>
        <w:pStyle w:val="Heading2"/>
        <w:jc w:val="left"/>
      </w:pPr>
      <w:r>
        <w:rPr>
          <w:b/>
          <w:color w:val="175E51"/>
          <w:sz w:val="30"/>
        </w:rPr>
        <w:t>1.2 平台功能需求分析与理解</w:t>
      </w:r>
    </w:p>
    <w:p>
      <w:pPr>
        <w:jc w:val="both"/>
      </w:pPr>
      <w:r>
        <w:rPr>
          <w:color w:val="46556E"/>
          <w:sz w:val="21"/>
        </w:rPr>
        <w:t>根据招标文件的要求，本项目的功能需求涵盖以下几个核心领域，这些功能需求相互关联、相互支撑，共同构成了陶行知RAG检索增强开发管理平台的完整功能体系。</w:t>
      </w:r>
    </w:p>
    <w:p>
      <w:pPr>
        <w:pStyle w:val="Heading3"/>
        <w:jc w:val="left"/>
      </w:pPr>
      <w:r>
        <w:rPr>
          <w:b/>
          <w:color w:val="6B46D1"/>
          <w:sz w:val="26"/>
        </w:rPr>
        <w:t>1.2.1 知识库管理模块</w:t>
      </w:r>
    </w:p>
    <w:p>
      <w:pPr>
        <w:jc w:val="both"/>
      </w:pPr>
      <w:r>
        <w:rPr>
          <w:color w:val="46556E"/>
          <w:sz w:val="21"/>
        </w:rPr>
        <w:t>知识库管理模块是整个平台的基础设施，为上层智能应用提供知识存储和检索服务。该模块的核心功能包括：</w:t>
      </w:r>
    </w:p>
    <w:p>
      <w:pPr>
        <w:jc w:val="both"/>
      </w:pPr>
      <w:r>
        <w:rPr>
          <w:color w:val="46556E"/>
          <w:sz w:val="21"/>
        </w:rPr>
        <w:t>在知识库创建方面，系统支持选择本地文件进行上传，支持的文件类型覆盖了主流的文档格式，包括TXT文本文件、Markdown格式文件、PDF文档、HTML网页文件、Excel电子表格（XLSX、XLS格式）、Word文档（DOCX格式）以及CSV逗号分隔值文件等。这种多格式支持能力确保了系统能够兼容学校现有的大多数文献资料格式，降低了数据迁移和导入的门槛。用户通过简单的文件选择和上传操作，即可完成知识库的初始化创建。</w:t>
      </w:r>
    </w:p>
    <w:p>
      <w:pPr>
        <w:jc w:val="both"/>
      </w:pPr>
      <w:r>
        <w:rPr>
          <w:color w:val="46556E"/>
          <w:sz w:val="21"/>
        </w:rPr>
        <w:t>在知识库配置方面，系统提供强大的配置管理能力。系统支持通用文本分块模式，能够根据预设的分块策略对上传文档进行智能分段。分块是RAG检索系统中非常关键的环节，合理的分块大小和分块边界能够显著提升检索效果。系统提供分段预览功能，用户在正式入库前能够直观地看到分块效果，包括每个分块的文本内容、分块长度、分块数量等信息。如果用户对默认分块策略不满意，还可以在此界面对分块参数进行灵活调整，直到获得满意的分块效果。知识库配置功能还包括对知识库内文档的增删改查操作，用户可以随时添加新文档、删除废弃文档、更新过时内容。同时，系统支持文档的启用和禁用控制，被禁用的文档将不参与检索，但保留在知识库中方便日后重新启用。</w:t>
      </w:r>
    </w:p>
    <w:p>
      <w:pPr>
        <w:jc w:val="both"/>
      </w:pPr>
      <w:r>
        <w:rPr>
          <w:color w:val="46556E"/>
          <w:sz w:val="21"/>
        </w:rPr>
        <w:t>在内置知识库方面，系统需要预置已建设完成的陶行知知识库，包含不少于150个陶行知相关文献资料。这些文献资料是学校多年积累的宝贵知识资产，具有较高的学术价值和研究价值。内置知识库允许用户进行完整的增删改查操作，体现了系统设计的灵活性——用户不仅可以使用系统提供的知识资源，还能够根据自身需要对知识库进行调整优化。</w:t>
      </w:r>
    </w:p>
    <w:p>
      <w:pPr>
        <w:pStyle w:val="Heading3"/>
        <w:jc w:val="left"/>
      </w:pPr>
      <w:r>
        <w:rPr>
          <w:b/>
          <w:color w:val="6B46D1"/>
          <w:sz w:val="26"/>
        </w:rPr>
        <w:t>1.2.2 AI应用开发管理模块</w:t>
      </w:r>
    </w:p>
    <w:p>
      <w:pPr>
        <w:jc w:val="both"/>
      </w:pPr>
      <w:r>
        <w:rPr>
          <w:color w:val="46556E"/>
          <w:sz w:val="21"/>
        </w:rPr>
        <w:t>AI应用开发管理模块是平台的核心功能模块，为用户提供了从应用创建到部署运维的完整开发工具链。</w:t>
      </w:r>
    </w:p>
    <w:p>
      <w:pPr>
        <w:jc w:val="both"/>
      </w:pPr>
      <w:r>
        <w:rPr>
          <w:color w:val="46556E"/>
          <w:sz w:val="21"/>
        </w:rPr>
        <w:t>智能问答型AI应用是该模块的核心应用形态。当用户创建智能问答应用时，可以根据实际需求灵活配置应用的各项参数和功能开关。其中，下一步问题建议功能能够根据当前对话上下文智能生成用户可能感兴趣的后续问题，帮助用户深入探索知识内容，提升交互体验和知识获取效率。引用和归属功能则确保了生成内容的可溯源性——系统不仅返回答案，还会在答案中标注每条陈述的具体来源，标明引用的文档名称、段落位置等信息，让用户能够方便地验证和深入阅读原文。</w:t>
      </w:r>
    </w:p>
    <w:p>
      <w:pPr>
        <w:jc w:val="both"/>
      </w:pPr>
      <w:r>
        <w:rPr>
          <w:color w:val="46556E"/>
          <w:sz w:val="21"/>
        </w:rPr>
        <w:t>应用日志管理功能为应用运营提供了数据支撑。系统会完整记录每一次用户与应用的交互日志，包括用户输入的问题、系统的检索过程、生成的回答内容、响应耗时等信息。用户可以按照过去7天、过去4周、过去3月等预设时间段进行日志筛选查询，也可以自定义时间范围进行精确查找。每条日志都有详情查看功能，管理员可以深入分析每次交互的具体过程，为应用优化提供依据。应用管理功能还包括应用的启用和停用控制，当某个应用需要临时下线维护时，管理员可以方便地将其停用；应用编排功能则支持对应用进行参数调整和功能配置；删除功能允许管理员清理不再需要的应用。</w:t>
      </w:r>
    </w:p>
    <w:p>
      <w:pPr>
        <w:jc w:val="both"/>
      </w:pPr>
      <w:r>
        <w:rPr>
          <w:color w:val="46556E"/>
          <w:sz w:val="21"/>
        </w:rPr>
        <w:t>应用监测功能提供了多维度的统计分析能力。系统能够从消息数、活跃用户数、平均用户调用次数等核心指标维度对应用的使用情况进行分析，支持按时间段进行对比分析，帮助管理员了解应用的使用趋势和用户行为特征。监测数据以直观的可视化图表形式呈现，便于理解和决策。</w:t>
      </w:r>
    </w:p>
    <w:p>
      <w:pPr>
        <w:pStyle w:val="Heading3"/>
        <w:jc w:val="left"/>
      </w:pPr>
      <w:r>
        <w:rPr>
          <w:b/>
          <w:color w:val="6B46D1"/>
          <w:sz w:val="26"/>
        </w:rPr>
        <w:t>1.2.3 模型进化与持续学习模块</w:t>
      </w:r>
    </w:p>
    <w:p>
      <w:pPr>
        <w:jc w:val="both"/>
      </w:pPr>
      <w:r>
        <w:rPr>
          <w:color w:val="46556E"/>
          <w:sz w:val="21"/>
        </w:rPr>
        <w:t>模型进化与持续学习能力是保持系统长期智能化的关键。系统需要具备通过数据闭环实现模型自我进化的能力，形成"使用→反馈→优化→再使用"的正向循环机制。这种持续学习的能力确保了系统在陶行知文本集的应用场景下能够越用越准、越用越智能。</w:t>
      </w:r>
    </w:p>
    <w:p>
      <w:pPr>
        <w:jc w:val="both"/>
      </w:pPr>
      <w:r>
        <w:rPr>
          <w:color w:val="46556E"/>
          <w:sz w:val="21"/>
        </w:rPr>
        <w:t>召回效果自动化评估是持续学习的重要基础。系统需要对检索召回效果进行多维度的自动化评估，评估维度包括：召回率，用于衡量系统是否检索到了正确答案所在的文档，这是评估检索完整性的核心指标；精确率，用于衡量检索结果中相关文档的比例，这是评估检索准确性的核心指标；平均倒数排名（MRR），用于衡量正确答案在检索结果中的排位，这是评估检索排序质量的综合性指标。通过持续监测这些评估指标的变化趋势，系统能够及时发现检索效果下滑的情况，并触发优化流程。</w:t>
      </w:r>
    </w:p>
    <w:p>
      <w:pPr>
        <w:jc w:val="both"/>
      </w:pPr>
      <w:r>
        <w:rPr>
          <w:color w:val="46556E"/>
          <w:sz w:val="21"/>
        </w:rPr>
        <w:t>反馈学习机制是持续学习的核心环节。系统需要能够自动收集用户的交互反馈数据，包括显式反馈（如用户对回答的评分、点赞、踩）和隐式反馈（如用户的点击行为、浏览时长、追问内容等）。这些反馈数据经过清洗和标注后，作为训练数据用于模型的增量学习和优化。通过这种数据驱动的闭环优化机制，系统能够不断适应用户需求的变化，保持智能水平的持续提升。</w:t>
      </w:r>
    </w:p>
    <w:p>
      <w:pPr>
        <w:pStyle w:val="Heading3"/>
        <w:jc w:val="left"/>
      </w:pPr>
      <w:r>
        <w:rPr>
          <w:b/>
          <w:color w:val="6B46D1"/>
          <w:sz w:val="26"/>
        </w:rPr>
        <w:t>1.2.4 用户个性化与习惯学习模块</w:t>
      </w:r>
    </w:p>
    <w:p>
      <w:pPr>
        <w:jc w:val="both"/>
      </w:pPr>
      <w:r>
        <w:rPr>
          <w:color w:val="46556E"/>
          <w:sz w:val="21"/>
        </w:rPr>
        <w:t>用户个性化服务能力是本平台区别于一般RAG系统的重要特色。系统通过多维用户画像系统实现对每个用户的个性化服务。</w:t>
      </w:r>
    </w:p>
    <w:p>
      <w:pPr>
        <w:jc w:val="both"/>
      </w:pPr>
      <w:r>
        <w:rPr>
          <w:color w:val="46556E"/>
          <w:sz w:val="21"/>
        </w:rPr>
        <w:t>多维用户画像系统自动构建每个用户的动态画像，画像维度包括：身份标签，支持管理员手动标注或用户自选，如"中小学教师"、"高校研究者"、"博物馆工作者"、"一般爱好者"等；知识水平，根据用户提问的复杂度、使用的专业术语频率等特征自动推断用户所处的知识层次，如入门级、研究级、专家级；偏好风格，根据用户历史交互行为学习其对回答风格的偏好，如简洁风格、详尽风格、原文引用为主风格、白话解读为主风格；关注领域，识别用户在陶行知思想中的关注焦点，如"生活教育理论"、"乡村师范教育"、"育才学校时期"、"诗歌创作"等；交互习惯，统计用户的使用时段、平均会话长度、提问频率等行为特征。</w:t>
      </w:r>
    </w:p>
    <w:p>
      <w:pPr>
        <w:jc w:val="both"/>
      </w:pPr>
      <w:r>
        <w:rPr>
          <w:color w:val="46556E"/>
          <w:sz w:val="21"/>
        </w:rPr>
        <w:t>画像的动态更新机制确保了用户画像的时效性和准确性。用户画像需要支持实时更新，每次用户交互后系统会重新计算各维度的置信度，并根据最新的交互数据调整画像标签。对于新用户无历史数据的情况，系统支持通过首次交互引导快速建立初始画像，例如询问"您更希望了解陶行知的哪些方面？A.教育思想 B.生平事迹 C.经典著作"，根据用户的选择快速构建基础画像。</w:t>
      </w:r>
    </w:p>
    <w:p>
      <w:pPr>
        <w:jc w:val="both"/>
      </w:pPr>
      <w:r>
        <w:rPr>
          <w:color w:val="46556E"/>
          <w:sz w:val="21"/>
        </w:rPr>
        <w:t>回答风格个性化是用户画像的直接应用。系统根据用户画像自动选择回答深度档位：面向中小学教师和一般爱好者，采用通俗解读风格，使用生活化语言解释，多举例子，少用专业术语，适当添加类比；面向本科学生和普通研究者，采用标准阐释风格，平衡原文引用与白话解读，结构清晰，引用规范；面向高校研究者和专家，采用学术严谨风格，大量原文引用，标注详细出处，可对比不同文献观点，指出学术争议。同时，系统支持用户手动切换档位，并记录切换行为用于更新用户画像。</w:t>
      </w:r>
    </w:p>
    <w:p>
      <w:pPr>
        <w:pStyle w:val="Heading2"/>
        <w:jc w:val="left"/>
      </w:pPr>
      <w:r>
        <w:rPr>
          <w:b/>
          <w:color w:val="175E51"/>
          <w:sz w:val="30"/>
        </w:rPr>
        <w:t>1.3 项目实施与服务保障体系专项理解</w:t>
      </w:r>
    </w:p>
    <w:p>
      <w:pPr>
        <w:pStyle w:val="Heading3"/>
        <w:jc w:val="left"/>
      </w:pPr>
      <w:r>
        <w:rPr>
          <w:b/>
          <w:color w:val="6B46D1"/>
          <w:sz w:val="26"/>
        </w:rPr>
        <w:t>1.3.1 从数据注入到生态融合的闭环</w:t>
      </w:r>
    </w:p>
    <w:p>
      <w:pPr>
        <w:jc w:val="both"/>
      </w:pPr>
      <w:r>
        <w:rPr>
          <w:color w:val="46556E"/>
          <w:sz w:val="21"/>
        </w:rPr>
        <w:t>本项目的实施服务内容远超一般的系统开发范畴，需要实现从数据采集、知识加工、智能应用到服务运营的完整闭环。</w:t>
      </w:r>
    </w:p>
    <w:p>
      <w:pPr>
        <w:jc w:val="both"/>
      </w:pPr>
      <w:r>
        <w:rPr>
          <w:color w:val="46556E"/>
          <w:sz w:val="21"/>
        </w:rPr>
        <w:t>陶行知文本数据开发服务是整个项目的数据基础。这项工作需要采集多个权威来源的陶行知相关文献资料，包括陶行知先生本人的手稿、书信、演讲记录、日记、诗歌、研究论文、专著等第一手文献，以及国内外学术界对陶行知教育思想研究的第二手文献资料。数据采集完成后，需要经过专业人员的深入研究与分析，运用大数据和AI技术将文献归类到相应的主题领域。在主题分类方面，需要建立一套科学的陶行知研究分类体系，将纷繁复杂的文献资料归入"生活教育理论"、"乡村师范教育"、"育才学校时期"、"诗歌创作"、"平民教育"、"民主教育"等主题类别中。同时，对文献内容进行细粒度分类，标注文献的类型、年代、来源、关键词等信息。运用先进的模型技术生成各主题的知识图谱与概念关联图谱，揭示陶行知思想体系中各个概念之间的逻辑关系。通过进一步的统计分析方法，构建陶行知文本集的知识大数据体系，为上层智能应用提供坚实的知识支撑。</w:t>
      </w:r>
    </w:p>
    <w:p>
      <w:pPr>
        <w:jc w:val="both"/>
      </w:pPr>
      <w:r>
        <w:rPr>
          <w:color w:val="46556E"/>
          <w:sz w:val="21"/>
        </w:rPr>
        <w:t>标准应用"AI智能问答"开发服务是基于知识库建设的核心智能应用。该应用利用大语言模型和陶行知主题知识智能计算和分析数据，实现以用户的多模态画像数据为基础的智能问答服务。无论是学生查询陶行知的教育思想，还是教师研究行知理论的实践应用，亦或是研究人员深入探讨陶行知思想的学术内涵，系统都能根据用户的身份和需求特征，提供精准、专业、个性化的知识服务。</w:t>
      </w:r>
    </w:p>
    <w:p>
      <w:pPr>
        <w:jc w:val="both"/>
      </w:pPr>
      <w:r>
        <w:rPr>
          <w:color w:val="46556E"/>
          <w:sz w:val="21"/>
        </w:rPr>
        <w:t>智慧校园对接服务是实现平台价值最大化的关键环节。系统需要建设一个智能应用统一入口，实现与学校智慧校园平台的无缝对接。这一统一入口需要充分利用智慧校园平台的用户认证体系，实现单点登录和自动身份核验，用户无需重复注册即可使用智能问答服务。同时，系统需要与智慧校园平台的权限管理体系对接，根据用户的角色和权限展示其可访问的智能应用，确保信息安全。</w:t>
      </w:r>
    </w:p>
    <w:p>
      <w:pPr>
        <w:pStyle w:val="Heading3"/>
        <w:jc w:val="left"/>
      </w:pPr>
      <w:r>
        <w:rPr>
          <w:b/>
          <w:color w:val="6B46D1"/>
          <w:sz w:val="26"/>
        </w:rPr>
        <w:t>1.3.2 构建主动化、制度化的长效保障</w:t>
      </w:r>
    </w:p>
    <w:p>
      <w:pPr>
        <w:jc w:val="both"/>
      </w:pPr>
      <w:r>
        <w:rPr>
          <w:color w:val="46556E"/>
          <w:sz w:val="21"/>
        </w:rPr>
        <w:t>根据招标文件的要求，本项目需要建立完善的长期服务保障体系，确保系统在三年合同期内持续稳定运行，并在质保期后仍能获得必要的支持服务。</w:t>
      </w:r>
    </w:p>
    <w:p>
      <w:pPr>
        <w:jc w:val="both"/>
      </w:pPr>
      <w:r>
        <w:rPr>
          <w:color w:val="46556E"/>
          <w:sz w:val="21"/>
        </w:rPr>
        <w:t>在响应机制方面，质保期内中标人需要提供7×24小时电话支持服务，确保用户在任何时间遇到问题都能获得及时的响应。一般性问题需要在24小时内解决，对于紧急故障需要立即响应并在最短时间内恢复服务。中标人还需要在质保期内免费提供系统升级、紧急故障处理、软件问题的修复、基础优化配置和性能调整、现场问题的诊断与分析等服务。</w:t>
      </w:r>
    </w:p>
    <w:p>
      <w:pPr>
        <w:jc w:val="both"/>
      </w:pPr>
      <w:r>
        <w:rPr>
          <w:color w:val="46556E"/>
          <w:sz w:val="21"/>
        </w:rPr>
        <w:t>在驻场服务方面，项目建设及维保期间，中标人需要安排1名项目经理与1名实施工程师常驻学校现场，全职负责系统的部署、配置、培训、优化及日常保障工作。驻场人员的职责包括：负责系统的日常运维和监控工作，及时发现和处理异常情况；负责对学校用户进行培训和指导，帮助用户掌握系统的使用方法；负责与学校相关部门保持密切沟通，及时了解用户需求变化并反馈给项目团队；负责系统的配置调整和优化工作，持续提升系统性能和用户体验。驻场服务的安排确保了学校用户在项目实施和运维期间能够获得面对面的专业支持。</w:t>
      </w:r>
    </w:p>
    <w:p>
      <w:pPr>
        <w:jc w:val="both"/>
      </w:pPr>
      <w:r>
        <w:rPr>
          <w:color w:val="46556E"/>
          <w:sz w:val="21"/>
        </w:rPr>
        <w:t>在定期检查方面，质保期内中标人需要每半年对系统进行一次全面检查，检查内容包括系统运行状态、数据质量、性能指标、安全状况等方面。检查发现的问题由中标人负责免费处理，确保系统始终保持在最佳状态。</w:t>
      </w:r>
    </w:p>
    <w:p>
      <w:pPr>
        <w:jc w:val="both"/>
      </w:pPr>
      <w:r>
        <w:rPr>
          <w:color w:val="46556E"/>
          <w:sz w:val="21"/>
        </w:rPr>
        <w:t>在质保期满后，中标人将继续免费提供电话咨询服务，为学校提供技术支持的后盾。同时，学校也可以根据实际需要签订延保服务协议，获得更全面的技术支持服务。</w:t>
      </w:r>
    </w:p>
    <w:p>
      <w:pPr>
        <w:pStyle w:val="Heading3"/>
        <w:jc w:val="left"/>
      </w:pPr>
      <w:r>
        <w:rPr>
          <w:b/>
          <w:color w:val="6B46D1"/>
          <w:sz w:val="26"/>
        </w:rPr>
        <w:t>1.3.3 实现从"交付"到"赋能"的根本转型</w:t>
      </w:r>
    </w:p>
    <w:p>
      <w:pPr>
        <w:jc w:val="both"/>
      </w:pPr>
      <w:r>
        <w:rPr>
          <w:color w:val="46556E"/>
          <w:sz w:val="21"/>
        </w:rPr>
        <w:t>本项目区别于传统信息系统建设项目的重要特征，在于其不仅要求完成系统的开发部署和功能交付，更强调对学校内部能力的赋能和对用户创新意识的激发。</w:t>
      </w:r>
    </w:p>
    <w:p>
      <w:pPr>
        <w:jc w:val="both"/>
      </w:pPr>
      <w:r>
        <w:rPr>
          <w:color w:val="46556E"/>
          <w:sz w:val="21"/>
        </w:rPr>
        <w:t>知识转移和能力建设贯穿项目实施全过程。在项目实施过程中，学校的技术人员将深度参与项目开发的各个环节，包括需求分析、系统设计、开发实现、测试验证、部署上线等。通过这种"做中学"的参与模式，学校技术人员能够深入理解系统的技术架构和实现细节，掌握系统的运维管理方法，积累智能化应用的开发经验。系统交付后，学校团队将具备基本的系统维护、故障处理、功能扩展等能力，不再完全依赖于外部供应商。</w:t>
      </w:r>
    </w:p>
    <w:p>
      <w:pPr>
        <w:jc w:val="both"/>
      </w:pPr>
      <w:r>
        <w:rPr>
          <w:color w:val="46556E"/>
          <w:sz w:val="21"/>
        </w:rPr>
        <w:t>分层分级的培训体系确保各类用户都能掌握所需技能。针对系统管理员，培训内容涵盖系统架构原理、运维管理操作、安全配置优化、故障诊断排除等高级内容，使其具备独立管理整个平台的能力。针对应用开发者，培训内容涵盖应用创建配置、Prompt工程实践、效果调优方法等开发技能，使其能够基于平台开发新的智能应用。针对普通用户，培训内容涵盖基本操作方法、常见问题解决、反馈渠道使用等基础内容，确保所有用户都能顺畅使用平台提供的各项服务。</w:t>
      </w:r>
    </w:p>
    <w:p>
      <w:pPr>
        <w:pStyle w:val="Heading2"/>
        <w:jc w:val="left"/>
      </w:pPr>
      <w:r>
        <w:rPr>
          <w:b/>
          <w:color w:val="175E51"/>
          <w:sz w:val="30"/>
        </w:rPr>
        <w:t>1.4 项目综合重难点与一体化应对策略</w:t>
      </w:r>
    </w:p>
    <w:p>
      <w:pPr>
        <w:pStyle w:val="Heading3"/>
        <w:jc w:val="left"/>
      </w:pPr>
      <w:r>
        <w:rPr>
          <w:b/>
          <w:color w:val="6B46D1"/>
          <w:sz w:val="26"/>
        </w:rPr>
        <w:t>1.4.1 系统无缝集成与多源数据高质量融合的复杂性</w:t>
      </w:r>
    </w:p>
    <w:p>
      <w:pPr>
        <w:jc w:val="both"/>
      </w:pPr>
      <w:r>
        <w:rPr>
          <w:color w:val="46556E"/>
          <w:sz w:val="21"/>
        </w:rPr>
        <w:t>本项目涉及与学校多个现有业务系统的集成对接，这些系统往往建设于不同时期，采用不同的技术架构和数据标准，集成对接的复杂性不容低估。</w:t>
      </w:r>
    </w:p>
    <w:p>
      <w:pPr>
        <w:jc w:val="both"/>
      </w:pPr>
      <w:r>
        <w:rPr>
          <w:color w:val="46556E"/>
          <w:sz w:val="21"/>
        </w:rPr>
        <w:t>多源数据融合的首要挑战在于数据格式和标准的异构性。学校各业务系统的数据格式、编码方式、元数据规范等往往不一致，需要进行大量的数据清洗和转换工作。以陶行知文献资料为例，不同来源的文献资料可能采用不同的分类体系、标签体系，如何将这些异构数据整合到统一的知识库中，是需要解决的首要问题。应对这一挑战，需要在项目建设初期就与学校相关部门协商确定数据交换的标准格式，建立统一的数据规范，从源头上减少异构性。</w:t>
      </w:r>
    </w:p>
    <w:p>
      <w:pPr>
        <w:jc w:val="both"/>
      </w:pPr>
      <w:r>
        <w:rPr>
          <w:color w:val="46556E"/>
          <w:sz w:val="21"/>
        </w:rPr>
        <w:t>系统接口的兼容性是另一个重要挑战。不同系统提供的API接口在协议规范、认证方式、返回值格式等方面存在差异，需要开发适配器进行统一封装。应对这一挑战，需要采用成熟的集成中间件和技术框架，利用现有的企业级集成平台降低开发成本和技术风险。同时，需要建立分层次的数据同步策略，根据不同数据的时效性要求采用不同的同步机制。</w:t>
      </w:r>
    </w:p>
    <w:p>
      <w:pPr>
        <w:jc w:val="both"/>
      </w:pPr>
      <w:r>
        <w:rPr>
          <w:color w:val="46556E"/>
          <w:sz w:val="21"/>
        </w:rPr>
        <w:t>数据实时性与一致性的平衡也需要妥善处理。多源数据的同步更新需要建立有效的数据同步机制，确保各系统之间的数据能够保持一致。对于实时性要求较高的应用场景，需要考虑增量更新、事件驱动等机制，避免数据滞后影响用户体验。</w:t>
      </w:r>
    </w:p>
    <w:p>
      <w:pPr>
        <w:pStyle w:val="Heading3"/>
        <w:jc w:val="left"/>
      </w:pPr>
      <w:r>
        <w:rPr>
          <w:b/>
          <w:color w:val="6B46D1"/>
          <w:sz w:val="26"/>
        </w:rPr>
        <w:t>1.4.2 确保平台长期稳健运行与业务需求即时响应的双重压力</w:t>
      </w:r>
    </w:p>
    <w:p>
      <w:pPr>
        <w:jc w:val="both"/>
      </w:pPr>
      <w:r>
        <w:rPr>
          <w:color w:val="46556E"/>
          <w:sz w:val="21"/>
        </w:rPr>
        <w:t>平台建设完成投入运行后，将面临"稳定性"与"灵活性"双重目标的平衡挑战。一方面，作为面向全校师生的公共服务平台，系统需要保持高度稳定，任何故障都可能影响大量用户的正常使用；另一方面，智能化应用领域技术迭代速度极快，用户需求也在不断演化，平台需要具备快速响应变化的能力。</w:t>
      </w:r>
    </w:p>
    <w:p>
      <w:pPr>
        <w:jc w:val="both"/>
      </w:pPr>
      <w:r>
        <w:rPr>
          <w:color w:val="46556E"/>
          <w:sz w:val="21"/>
        </w:rPr>
        <w:t>为应对这一挑战，本项目在技术架构设计上采用"核心稳定、边缘灵活"的分层策略。系统的核心组件采用成熟稳定的技术方案，确保基本功能的可靠运行；同时，将创新功能和新特性封装为独立的微服务模块，采用蓝绿部署、灰度发布等机制，在保证核心系统稳定的前提下实现快速迭代更新。</w:t>
      </w:r>
    </w:p>
    <w:p>
      <w:pPr>
        <w:jc w:val="both"/>
      </w:pPr>
      <w:r>
        <w:rPr>
          <w:color w:val="46556E"/>
          <w:sz w:val="21"/>
        </w:rPr>
        <w:t>在运维保障上，需要充分利用容器化、自动化运维等技术手段，降低运维成本和复杂度，同时通过完善的监控告警体系，及时发现和处理潜在问题，将被动响应转变为主动预防。</w:t>
      </w:r>
    </w:p>
    <w:p>
      <w:pPr>
        <w:pStyle w:val="Heading3"/>
        <w:jc w:val="left"/>
      </w:pPr>
      <w:r>
        <w:rPr>
          <w:b/>
          <w:color w:val="6B46D1"/>
          <w:sz w:val="26"/>
        </w:rPr>
        <w:t>1.4.3 实现从"系统交付"到"内部能力赋能"的根本性转变</w:t>
      </w:r>
    </w:p>
    <w:p>
      <w:pPr>
        <w:jc w:val="both"/>
      </w:pPr>
      <w:r>
        <w:rPr>
          <w:color w:val="46556E"/>
          <w:sz w:val="21"/>
        </w:rPr>
        <w:t>本项目要求实现的"内部能力赋能"，意味着需要在项目实施过程中同步完成知识转移和能力建设，使学校逐步具备平台的自主运营和持续优化能力。</w:t>
      </w:r>
    </w:p>
    <w:p>
      <w:pPr>
        <w:jc w:val="both"/>
      </w:pPr>
      <w:r>
        <w:rPr>
          <w:color w:val="46556E"/>
          <w:sz w:val="21"/>
        </w:rPr>
        <w:t>实现这一目标的关键在于建立完善的赋能机制和支撑体系。首先，在项目实施过程中采用"联合团队"模式，让学校的技术人员深度参与项目开发全过程，通过实战锻炼提升能力；其次，建立分层分级的培训体系，针对不同角色提供差异化的培训内容；第三，提供完善的运维文档和知识库，使学校团队在项目结束后仍能获得持续的技术支撑；最后，建立常态化的沟通交流机制，定期组织技术交流会、用户反馈会等活动，持续收集改进建议，推动平台不断优化完善。</w:t>
      </w:r>
    </w:p>
    <w:p>
      <w:pPr>
        <w:pStyle w:val="Heading2"/>
        <w:jc w:val="left"/>
      </w:pPr>
      <w:r>
        <w:rPr>
          <w:b/>
          <w:color w:val="175E51"/>
          <w:sz w:val="30"/>
        </w:rPr>
        <w:t>知识库建设与RAG检索流程图</w:t>
      </w:r>
    </w:p>
    <w:p>
      <w:pPr>
        <w:jc w:val="center"/>
      </w:pPr>
      <w:r>
        <w:drawing>
          <wp:inline xmlns:a="http://schemas.openxmlformats.org/drawingml/2006/main" xmlns:pic="http://schemas.openxmlformats.org/drawingml/2006/picture">
            <wp:extent cx="5029200" cy="3334173"/>
            <wp:docPr id="2" name="Picture 2"/>
            <wp:cNvGraphicFramePr>
              <a:graphicFrameLocks noChangeAspect="1"/>
            </wp:cNvGraphicFramePr>
            <a:graphic>
              <a:graphicData uri="http://schemas.openxmlformats.org/drawingml/2006/picture">
                <pic:pic>
                  <pic:nvPicPr>
                    <pic:cNvPr id="0" name="03_knowledge_flow.png"/>
                    <pic:cNvPicPr/>
                  </pic:nvPicPr>
                  <pic:blipFill>
                    <a:blip r:embed="rId10"/>
                    <a:stretch>
                      <a:fillRect/>
                    </a:stretch>
                  </pic:blipFill>
                  <pic:spPr>
                    <a:xfrm>
                      <a:off x="0" y="0"/>
                      <a:ext cx="5029200" cy="3334173"/>
                    </a:xfrm>
                    <a:prstGeom prst="rect"/>
                  </pic:spPr>
                </pic:pic>
              </a:graphicData>
            </a:graphic>
          </wp:inline>
        </w:drawing>
      </w:r>
    </w:p>
    <w:p>
      <w:pPr>
        <w:jc w:val="center"/>
      </w:pPr>
      <w:r>
        <w:rPr>
          <w:i/>
          <w:color w:val="46556E"/>
          <w:sz w:val="18"/>
        </w:rPr>
        <w:t>图1-2 知识库建设与RAG检索流程图</w:t>
      </w:r>
    </w:p>
    <w:p/>
    <w:p>
      <w:pPr>
        <w:pStyle w:val="Heading1"/>
        <w:jc w:val="left"/>
      </w:pPr>
      <w:r>
        <w:rPr>
          <w:b/>
          <w:color w:val="1A56DB"/>
          <w:sz w:val="36"/>
        </w:rPr>
        <w:t>2. 项目总体规划设计</w:t>
      </w:r>
    </w:p>
    <w:p>
      <w:pPr>
        <w:pStyle w:val="Heading2"/>
        <w:jc w:val="left"/>
      </w:pPr>
      <w:r>
        <w:rPr>
          <w:b/>
          <w:color w:val="175E51"/>
          <w:sz w:val="30"/>
        </w:rPr>
        <w:t>平台功能模块全景图</w:t>
      </w:r>
    </w:p>
    <w:p>
      <w:pPr>
        <w:jc w:val="center"/>
      </w:pPr>
      <w:r>
        <w:drawing>
          <wp:inline xmlns:a="http://schemas.openxmlformats.org/drawingml/2006/main" xmlns:pic="http://schemas.openxmlformats.org/drawingml/2006/picture">
            <wp:extent cx="5029200" cy="4504124"/>
            <wp:docPr id="3" name="Picture 3"/>
            <wp:cNvGraphicFramePr>
              <a:graphicFrameLocks noChangeAspect="1"/>
            </wp:cNvGraphicFramePr>
            <a:graphic>
              <a:graphicData uri="http://schemas.openxmlformats.org/drawingml/2006/picture">
                <pic:pic>
                  <pic:nvPicPr>
                    <pic:cNvPr id="0" name="02_platform_modules.png"/>
                    <pic:cNvPicPr/>
                  </pic:nvPicPr>
                  <pic:blipFill>
                    <a:blip r:embed="rId11"/>
                    <a:stretch>
                      <a:fillRect/>
                    </a:stretch>
                  </pic:blipFill>
                  <pic:spPr>
                    <a:xfrm>
                      <a:off x="0" y="0"/>
                      <a:ext cx="5029200" cy="4504124"/>
                    </a:xfrm>
                    <a:prstGeom prst="rect"/>
                  </pic:spPr>
                </pic:pic>
              </a:graphicData>
            </a:graphic>
          </wp:inline>
        </w:drawing>
      </w:r>
    </w:p>
    <w:p>
      <w:pPr>
        <w:jc w:val="center"/>
      </w:pPr>
      <w:r>
        <w:rPr>
          <w:i/>
          <w:color w:val="46556E"/>
          <w:sz w:val="18"/>
        </w:rPr>
        <w:t>图2-1 平台功能模块全景图</w:t>
      </w:r>
    </w:p>
    <w:p/>
    <w:p>
      <w:pPr>
        <w:pStyle w:val="Heading2"/>
        <w:jc w:val="left"/>
      </w:pPr>
      <w:r>
        <w:rPr>
          <w:b/>
          <w:color w:val="175E51"/>
          <w:sz w:val="30"/>
        </w:rPr>
        <w:t>2.1 总体设计原则与思路</w:t>
      </w:r>
    </w:p>
    <w:p>
      <w:pPr>
        <w:jc w:val="both"/>
      </w:pPr>
      <w:r>
        <w:rPr>
          <w:color w:val="46556E"/>
          <w:sz w:val="21"/>
        </w:rPr>
        <w:t>本项目的总体规划设计遵循开放性与可扩展性原则、稳定性与可靠性原则、安全性与合规性原则、用户体验优先原则、技术先进性与实用性兼顾原则五大核心原则。</w:t>
      </w:r>
    </w:p>
    <w:p>
      <w:pPr>
        <w:pStyle w:val="Heading3"/>
        <w:jc w:val="left"/>
      </w:pPr>
      <w:r>
        <w:rPr>
          <w:b/>
          <w:color w:val="6B46D1"/>
          <w:sz w:val="26"/>
        </w:rPr>
        <w:t>2.1.1 设计原则总纲</w:t>
      </w:r>
    </w:p>
    <w:p>
      <w:pPr>
        <w:pStyle w:val="Heading4"/>
        <w:jc w:val="left"/>
      </w:pPr>
      <w:r>
        <w:rPr>
          <w:b/>
          <w:color w:val="1E293A"/>
          <w:sz w:val="22"/>
        </w:rPr>
        <w:t>开放性与可扩展性原则</w:t>
      </w:r>
    </w:p>
    <w:p>
      <w:pPr>
        <w:pStyle w:val="Heading4"/>
        <w:jc w:val="left"/>
      </w:pPr>
      <w:r>
        <w:rPr>
          <w:b/>
          <w:color w:val="1E293A"/>
          <w:sz w:val="22"/>
        </w:rPr>
        <w:t>稳定性与可靠性原则</w:t>
      </w:r>
    </w:p>
    <w:p>
      <w:pPr>
        <w:pStyle w:val="Heading4"/>
        <w:jc w:val="left"/>
      </w:pPr>
      <w:r>
        <w:rPr>
          <w:b/>
          <w:color w:val="1E293A"/>
          <w:sz w:val="22"/>
        </w:rPr>
        <w:t>安全性与合规性原则</w:t>
      </w:r>
    </w:p>
    <w:p>
      <w:pPr>
        <w:pStyle w:val="Heading4"/>
        <w:jc w:val="left"/>
      </w:pPr>
      <w:r>
        <w:rPr>
          <w:b/>
          <w:color w:val="1E293A"/>
          <w:sz w:val="22"/>
        </w:rPr>
        <w:t>用户体验优先原则</w:t>
      </w:r>
    </w:p>
    <w:p>
      <w:pPr>
        <w:pStyle w:val="Heading4"/>
        <w:jc w:val="left"/>
      </w:pPr>
      <w:r>
        <w:rPr>
          <w:b/>
          <w:color w:val="1E293A"/>
          <w:sz w:val="22"/>
        </w:rPr>
        <w:t>技术先进性与实用性兼顾原则</w:t>
      </w:r>
    </w:p>
    <w:p>
      <w:pPr>
        <w:pStyle w:val="Heading3"/>
        <w:jc w:val="left"/>
      </w:pPr>
      <w:r>
        <w:rPr>
          <w:b/>
          <w:color w:val="6B46D1"/>
          <w:sz w:val="26"/>
        </w:rPr>
        <w:t>2.1.2 设计思路阐述</w:t>
      </w:r>
    </w:p>
    <w:p>
      <w:pPr>
        <w:pStyle w:val="Heading4"/>
        <w:jc w:val="left"/>
      </w:pPr>
      <w:r>
        <w:rPr>
          <w:b/>
          <w:color w:val="1E293A"/>
          <w:sz w:val="22"/>
        </w:rPr>
        <w:t>以知识为核心的设计思路</w:t>
      </w:r>
    </w:p>
    <w:p>
      <w:pPr>
        <w:pStyle w:val="Heading4"/>
        <w:jc w:val="left"/>
      </w:pPr>
      <w:r>
        <w:rPr>
          <w:b/>
          <w:color w:val="1E293A"/>
          <w:sz w:val="22"/>
        </w:rPr>
        <w:t>以用户画像为驱动的个性化设计</w:t>
      </w:r>
    </w:p>
    <w:p>
      <w:pPr>
        <w:pStyle w:val="Heading4"/>
        <w:jc w:val="left"/>
      </w:pPr>
      <w:r>
        <w:rPr>
          <w:b/>
          <w:color w:val="1E293A"/>
          <w:sz w:val="22"/>
        </w:rPr>
        <w:t>以持续优化为目标的闭环设计</w:t>
      </w:r>
    </w:p>
    <w:p>
      <w:pPr>
        <w:pStyle w:val="Heading4"/>
        <w:jc w:val="left"/>
      </w:pPr>
      <w:r>
        <w:rPr>
          <w:b/>
          <w:color w:val="1E293A"/>
          <w:sz w:val="22"/>
        </w:rPr>
        <w:t>以开放接口为支撑的生态设计</w:t>
      </w:r>
    </w:p>
    <w:p>
      <w:pPr>
        <w:pStyle w:val="Heading2"/>
        <w:jc w:val="left"/>
      </w:pPr>
      <w:r>
        <w:rPr>
          <w:b/>
          <w:color w:val="175E51"/>
          <w:sz w:val="30"/>
        </w:rPr>
        <w:t>2.2 总体架构设计</w:t>
      </w:r>
    </w:p>
    <w:p>
      <w:pPr>
        <w:pStyle w:val="Heading3"/>
        <w:jc w:val="left"/>
      </w:pPr>
      <w:r>
        <w:rPr>
          <w:b/>
          <w:color w:val="6B46D1"/>
          <w:sz w:val="26"/>
        </w:rPr>
        <w:t>2.2.1 分层架构设计</w:t>
      </w:r>
    </w:p>
    <w:p>
      <w:pPr>
        <w:pStyle w:val="Heading4"/>
        <w:jc w:val="left"/>
      </w:pPr>
      <w:r>
        <w:rPr>
          <w:b/>
          <w:color w:val="1E293A"/>
          <w:sz w:val="22"/>
        </w:rPr>
        <w:t>基础设施层（IaaS/云原生底座）</w:t>
      </w:r>
    </w:p>
    <w:p>
      <w:pPr>
        <w:pStyle w:val="Heading4"/>
        <w:jc w:val="left"/>
      </w:pPr>
      <w:r>
        <w:rPr>
          <w:b/>
          <w:color w:val="1E293A"/>
          <w:sz w:val="22"/>
        </w:rPr>
        <w:t>数据资源层（统一数据资产中心）</w:t>
      </w:r>
    </w:p>
    <w:p>
      <w:pPr>
        <w:pStyle w:val="Heading4"/>
        <w:jc w:val="left"/>
      </w:pPr>
      <w:r>
        <w:rPr>
          <w:b/>
          <w:color w:val="1E293A"/>
          <w:sz w:val="22"/>
        </w:rPr>
        <w:t>AI引擎层（模型与能力中台）</w:t>
      </w:r>
    </w:p>
    <w:p>
      <w:pPr>
        <w:pStyle w:val="Heading4"/>
        <w:jc w:val="left"/>
      </w:pPr>
      <w:r>
        <w:rPr>
          <w:b/>
          <w:color w:val="1E293A"/>
          <w:sz w:val="22"/>
        </w:rPr>
        <w:t>应用开发层（低代码开发环境）</w:t>
      </w:r>
    </w:p>
    <w:p>
      <w:pPr>
        <w:pStyle w:val="Heading4"/>
        <w:jc w:val="left"/>
      </w:pPr>
      <w:r>
        <w:rPr>
          <w:b/>
          <w:color w:val="1E293A"/>
          <w:sz w:val="22"/>
        </w:rPr>
        <w:t>应用服务层（能力开放与治理）</w:t>
      </w:r>
    </w:p>
    <w:p>
      <w:pPr>
        <w:pStyle w:val="Heading4"/>
        <w:jc w:val="left"/>
      </w:pPr>
      <w:r>
        <w:rPr>
          <w:b/>
          <w:color w:val="1E293A"/>
          <w:sz w:val="22"/>
        </w:rPr>
        <w:t>用户交互层（多渠道触达）</w:t>
      </w:r>
    </w:p>
    <w:p>
      <w:pPr>
        <w:pStyle w:val="Heading2"/>
        <w:jc w:val="left"/>
      </w:pPr>
      <w:r>
        <w:rPr>
          <w:b/>
          <w:color w:val="175E51"/>
          <w:sz w:val="30"/>
        </w:rPr>
        <w:t>系统集成架构图</w:t>
      </w:r>
    </w:p>
    <w:p>
      <w:pPr>
        <w:jc w:val="center"/>
      </w:pPr>
      <w:r>
        <w:drawing>
          <wp:inline xmlns:a="http://schemas.openxmlformats.org/drawingml/2006/main" xmlns:pic="http://schemas.openxmlformats.org/drawingml/2006/picture">
            <wp:extent cx="5029200" cy="3334173"/>
            <wp:docPr id="4" name="Picture 4"/>
            <wp:cNvGraphicFramePr>
              <a:graphicFrameLocks noChangeAspect="1"/>
            </wp:cNvGraphicFramePr>
            <a:graphic>
              <a:graphicData uri="http://schemas.openxmlformats.org/drawingml/2006/picture">
                <pic:pic>
                  <pic:nvPicPr>
                    <pic:cNvPr id="0" name="07_system_integration.png"/>
                    <pic:cNvPicPr/>
                  </pic:nvPicPr>
                  <pic:blipFill>
                    <a:blip r:embed="rId12"/>
                    <a:stretch>
                      <a:fillRect/>
                    </a:stretch>
                  </pic:blipFill>
                  <pic:spPr>
                    <a:xfrm>
                      <a:off x="0" y="0"/>
                      <a:ext cx="5029200" cy="3334173"/>
                    </a:xfrm>
                    <a:prstGeom prst="rect"/>
                  </pic:spPr>
                </pic:pic>
              </a:graphicData>
            </a:graphic>
          </wp:inline>
        </w:drawing>
      </w:r>
    </w:p>
    <w:p>
      <w:pPr>
        <w:jc w:val="center"/>
      </w:pPr>
      <w:r>
        <w:rPr>
          <w:i/>
          <w:color w:val="46556E"/>
          <w:sz w:val="18"/>
        </w:rPr>
        <w:t>图2-2 系统集成与智慧校园融合架构图</w:t>
      </w:r>
    </w:p>
    <w:p/>
    <w:p>
      <w:pPr>
        <w:pStyle w:val="Heading2"/>
        <w:jc w:val="left"/>
      </w:pPr>
      <w:r>
        <w:rPr>
          <w:b/>
          <w:color w:val="175E51"/>
          <w:sz w:val="30"/>
        </w:rPr>
        <w:t>2.3 平台核心模块设计</w:t>
      </w:r>
    </w:p>
    <w:p>
      <w:pPr>
        <w:pStyle w:val="Heading3"/>
        <w:jc w:val="left"/>
      </w:pPr>
      <w:r>
        <w:rPr>
          <w:b/>
          <w:color w:val="6B46D1"/>
          <w:sz w:val="26"/>
        </w:rPr>
        <w:t>2.3.1 数据湖管理模块</w:t>
      </w:r>
    </w:p>
    <w:p>
      <w:pPr>
        <w:pStyle w:val="Heading3"/>
        <w:jc w:val="left"/>
      </w:pPr>
      <w:r>
        <w:rPr>
          <w:b/>
          <w:color w:val="6B46D1"/>
          <w:sz w:val="26"/>
        </w:rPr>
        <w:t>2.3.2 AI引擎管理模块</w:t>
      </w:r>
    </w:p>
    <w:p>
      <w:pPr>
        <w:pStyle w:val="Heading3"/>
        <w:jc w:val="left"/>
      </w:pPr>
      <w:r>
        <w:rPr>
          <w:b/>
          <w:color w:val="6B46D1"/>
          <w:sz w:val="26"/>
        </w:rPr>
        <w:t>2.3.3 知识库管理模块</w:t>
      </w:r>
    </w:p>
    <w:p>
      <w:pPr>
        <w:pStyle w:val="Heading3"/>
        <w:jc w:val="left"/>
      </w:pPr>
      <w:r>
        <w:rPr>
          <w:b/>
          <w:color w:val="6B46D1"/>
          <w:sz w:val="26"/>
        </w:rPr>
        <w:t>2.3.4 AI应用开发模块</w:t>
      </w:r>
    </w:p>
    <w:p>
      <w:pPr>
        <w:pStyle w:val="Heading3"/>
        <w:jc w:val="left"/>
      </w:pPr>
      <w:r>
        <w:rPr>
          <w:b/>
          <w:color w:val="6B46D1"/>
          <w:sz w:val="26"/>
        </w:rPr>
        <w:t>2.3.5 模型与算力管理模块</w:t>
      </w:r>
    </w:p>
    <w:p>
      <w:pPr>
        <w:pStyle w:val="Heading2"/>
        <w:jc w:val="left"/>
      </w:pPr>
      <w:r>
        <w:rPr>
          <w:b/>
          <w:color w:val="175E51"/>
          <w:sz w:val="30"/>
        </w:rPr>
        <w:t>2.4 系统集成与扩展设计</w:t>
      </w:r>
    </w:p>
    <w:p>
      <w:pPr>
        <w:pStyle w:val="Heading3"/>
        <w:jc w:val="left"/>
      </w:pPr>
      <w:r>
        <w:rPr>
          <w:b/>
          <w:color w:val="6B46D1"/>
          <w:sz w:val="26"/>
        </w:rPr>
        <w:t>2.4.1 与校本数据中心的深度集成</w:t>
      </w:r>
    </w:p>
    <w:p>
      <w:pPr>
        <w:pStyle w:val="Heading3"/>
        <w:jc w:val="left"/>
      </w:pPr>
      <w:r>
        <w:rPr>
          <w:b/>
          <w:color w:val="6B46D1"/>
          <w:sz w:val="26"/>
        </w:rPr>
        <w:t>2.4.2 与智慧校园平台的融合集成</w:t>
      </w:r>
    </w:p>
    <w:p>
      <w:pPr>
        <w:pStyle w:val="Heading3"/>
        <w:jc w:val="left"/>
      </w:pPr>
      <w:r>
        <w:rPr>
          <w:b/>
          <w:color w:val="6B46D1"/>
          <w:sz w:val="26"/>
        </w:rPr>
        <w:t>2.4.3 开放API体系与生态构建</w:t>
      </w:r>
    </w:p>
    <w:p>
      <w:pPr>
        <w:pStyle w:val="Heading3"/>
        <w:jc w:val="left"/>
      </w:pPr>
      <w:r>
        <w:rPr>
          <w:b/>
          <w:color w:val="6B46D1"/>
          <w:sz w:val="26"/>
        </w:rPr>
        <w:t>2.4.4 插件化扩展与模块化升级架构</w:t>
      </w:r>
    </w:p>
    <w:p>
      <w:pPr>
        <w:pStyle w:val="Heading2"/>
        <w:jc w:val="left"/>
      </w:pPr>
      <w:r>
        <w:rPr>
          <w:b/>
          <w:color w:val="175E51"/>
          <w:sz w:val="30"/>
        </w:rPr>
        <w:t>2.5 安全与运维保障设计</w:t>
      </w:r>
    </w:p>
    <w:p>
      <w:pPr>
        <w:pStyle w:val="Heading3"/>
        <w:jc w:val="left"/>
      </w:pPr>
      <w:r>
        <w:rPr>
          <w:b/>
          <w:color w:val="6B46D1"/>
          <w:sz w:val="26"/>
        </w:rPr>
        <w:t>2.5.1 纵深防御与零信任数据安全体系</w:t>
      </w:r>
    </w:p>
    <w:p>
      <w:pPr>
        <w:pStyle w:val="Heading3"/>
        <w:jc w:val="left"/>
      </w:pPr>
      <w:r>
        <w:rPr>
          <w:b/>
          <w:color w:val="6B46D1"/>
          <w:sz w:val="26"/>
        </w:rPr>
        <w:t>2.5.2 主动式系统安全与弹性运行时防护</w:t>
      </w:r>
    </w:p>
    <w:p>
      <w:pPr>
        <w:pStyle w:val="Heading3"/>
        <w:jc w:val="left"/>
      </w:pPr>
      <w:r>
        <w:rPr>
          <w:b/>
          <w:color w:val="6B46D1"/>
          <w:sz w:val="26"/>
        </w:rPr>
        <w:t>2.5.3 基于可观测性栈的智能运维</w:t>
      </w:r>
    </w:p>
    <w:p>
      <w:pPr>
        <w:pStyle w:val="Heading3"/>
        <w:jc w:val="left"/>
      </w:pPr>
      <w:r>
        <w:rPr>
          <w:b/>
          <w:color w:val="6B46D1"/>
          <w:sz w:val="26"/>
        </w:rPr>
        <w:t>2.5.4 持续性安全运维与合规审计</w:t>
      </w:r>
    </w:p>
    <w:p>
      <w:pPr>
        <w:pStyle w:val="Heading2"/>
        <w:jc w:val="left"/>
      </w:pPr>
      <w:r>
        <w:rPr>
          <w:b/>
          <w:color w:val="175E51"/>
          <w:sz w:val="30"/>
        </w:rPr>
        <w:t>技术架构图</w:t>
      </w:r>
    </w:p>
    <w:p>
      <w:pPr>
        <w:jc w:val="center"/>
      </w:pPr>
      <w:r>
        <w:drawing>
          <wp:inline xmlns:a="http://schemas.openxmlformats.org/drawingml/2006/main" xmlns:pic="http://schemas.openxmlformats.org/drawingml/2006/picture">
            <wp:extent cx="5029200" cy="4504124"/>
            <wp:docPr id="5" name="Picture 5"/>
            <wp:cNvGraphicFramePr>
              <a:graphicFrameLocks noChangeAspect="1"/>
            </wp:cNvGraphicFramePr>
            <a:graphic>
              <a:graphicData uri="http://schemas.openxmlformats.org/drawingml/2006/picture">
                <pic:pic>
                  <pic:nvPicPr>
                    <pic:cNvPr id="0" name="08_technical_architecture.png"/>
                    <pic:cNvPicPr/>
                  </pic:nvPicPr>
                  <pic:blipFill>
                    <a:blip r:embed="rId13"/>
                    <a:stretch>
                      <a:fillRect/>
                    </a:stretch>
                  </pic:blipFill>
                  <pic:spPr>
                    <a:xfrm>
                      <a:off x="0" y="0"/>
                      <a:ext cx="5029200" cy="4504124"/>
                    </a:xfrm>
                    <a:prstGeom prst="rect"/>
                  </pic:spPr>
                </pic:pic>
              </a:graphicData>
            </a:graphic>
          </wp:inline>
        </w:drawing>
      </w:r>
    </w:p>
    <w:p>
      <w:pPr>
        <w:jc w:val="center"/>
      </w:pPr>
      <w:r>
        <w:rPr>
          <w:i/>
          <w:color w:val="46556E"/>
          <w:sz w:val="18"/>
        </w:rPr>
        <w:t>图2-3 平台技术架构图</w:t>
      </w:r>
    </w:p>
    <w:p/>
    <w:p>
      <w:pPr>
        <w:pStyle w:val="Heading2"/>
        <w:jc w:val="left"/>
      </w:pPr>
      <w:r>
        <w:rPr>
          <w:b/>
          <w:color w:val="175E51"/>
          <w:sz w:val="30"/>
        </w:rPr>
        <w:t>2.6 标准化与合规性设计</w:t>
      </w:r>
    </w:p>
    <w:p>
      <w:pPr>
        <w:pStyle w:val="Heading3"/>
        <w:jc w:val="left"/>
      </w:pPr>
      <w:r>
        <w:rPr>
          <w:b/>
          <w:color w:val="6B46D1"/>
          <w:sz w:val="26"/>
        </w:rPr>
        <w:t>2.6.1 多层次标准化体系构建</w:t>
      </w:r>
    </w:p>
    <w:p>
      <w:pPr>
        <w:pStyle w:val="Heading3"/>
        <w:jc w:val="left"/>
      </w:pPr>
      <w:r>
        <w:rPr>
          <w:b/>
          <w:color w:val="6B46D1"/>
          <w:sz w:val="26"/>
        </w:rPr>
        <w:t>2.6.2 嵌入式合规性检查与审计</w:t>
      </w:r>
    </w:p>
    <w:p>
      <w:pPr>
        <w:pStyle w:val="Heading3"/>
        <w:jc w:val="left"/>
      </w:pPr>
      <w:r>
        <w:rPr>
          <w:b/>
          <w:color w:val="6B46D1"/>
          <w:sz w:val="26"/>
        </w:rPr>
        <w:t>2.6.3 标准化驱动的开放生态集成</w:t>
      </w:r>
    </w:p>
    <w:p>
      <w:pPr>
        <w:pStyle w:val="Heading1"/>
        <w:jc w:val="left"/>
      </w:pPr>
      <w:r>
        <w:rPr>
          <w:b/>
          <w:color w:val="1A56DB"/>
          <w:sz w:val="36"/>
        </w:rPr>
        <w:t>3. 项目实施计划方案</w:t>
      </w:r>
    </w:p>
    <w:p>
      <w:pPr>
        <w:pStyle w:val="Heading2"/>
        <w:jc w:val="left"/>
      </w:pPr>
      <w:r>
        <w:rPr>
          <w:b/>
          <w:color w:val="175E51"/>
          <w:sz w:val="30"/>
        </w:rPr>
        <w:t>项目实施甘特图</w:t>
      </w:r>
    </w:p>
    <w:p>
      <w:pPr>
        <w:jc w:val="center"/>
      </w:pPr>
      <w:r>
        <w:drawing>
          <wp:inline xmlns:a="http://schemas.openxmlformats.org/drawingml/2006/main" xmlns:pic="http://schemas.openxmlformats.org/drawingml/2006/picture">
            <wp:extent cx="5943600" cy="3895047"/>
            <wp:docPr id="6" name="Picture 6"/>
            <wp:cNvGraphicFramePr>
              <a:graphicFrameLocks noChangeAspect="1"/>
            </wp:cNvGraphicFramePr>
            <a:graphic>
              <a:graphicData uri="http://schemas.openxmlformats.org/drawingml/2006/picture">
                <pic:pic>
                  <pic:nvPicPr>
                    <pic:cNvPr id="0" name="09_implementation_gantt.png"/>
                    <pic:cNvPicPr/>
                  </pic:nvPicPr>
                  <pic:blipFill>
                    <a:blip r:embed="rId14"/>
                    <a:stretch>
                      <a:fillRect/>
                    </a:stretch>
                  </pic:blipFill>
                  <pic:spPr>
                    <a:xfrm>
                      <a:off x="0" y="0"/>
                      <a:ext cx="5943600" cy="3895047"/>
                    </a:xfrm>
                    <a:prstGeom prst="rect"/>
                  </pic:spPr>
                </pic:pic>
              </a:graphicData>
            </a:graphic>
          </wp:inline>
        </w:drawing>
      </w:r>
    </w:p>
    <w:p>
      <w:pPr>
        <w:jc w:val="center"/>
      </w:pPr>
      <w:r>
        <w:rPr>
          <w:i/>
          <w:color w:val="46556E"/>
          <w:sz w:val="18"/>
        </w:rPr>
        <w:t>图3-1 项目实施甘特图</w:t>
      </w:r>
    </w:p>
    <w:p/>
    <w:p>
      <w:pPr>
        <w:pStyle w:val="Heading2"/>
        <w:jc w:val="left"/>
      </w:pPr>
      <w:r>
        <w:rPr>
          <w:b/>
          <w:color w:val="175E51"/>
          <w:sz w:val="30"/>
        </w:rPr>
        <w:t>3.1 项目总体策略与原则</w:t>
      </w:r>
    </w:p>
    <w:p>
      <w:pPr>
        <w:pStyle w:val="Heading3"/>
        <w:jc w:val="left"/>
      </w:pPr>
      <w:r>
        <w:rPr>
          <w:b/>
          <w:color w:val="6B46D1"/>
          <w:sz w:val="26"/>
        </w:rPr>
        <w:t>3.1.1 敏捷并行实施原则</w:t>
      </w:r>
    </w:p>
    <w:p>
      <w:pPr>
        <w:pStyle w:val="Heading4"/>
        <w:jc w:val="left"/>
      </w:pPr>
      <w:r>
        <w:rPr>
          <w:b/>
          <w:color w:val="1E293A"/>
          <w:sz w:val="22"/>
        </w:rPr>
        <w:t>以特性模块为中心的并行工程管理</w:t>
      </w:r>
    </w:p>
    <w:p>
      <w:pPr>
        <w:pStyle w:val="Heading4"/>
        <w:jc w:val="left"/>
      </w:pPr>
      <w:r>
        <w:rPr>
          <w:b/>
          <w:color w:val="1E293A"/>
          <w:sz w:val="22"/>
        </w:rPr>
        <w:t>基于短周期迭代的渐进式交付</w:t>
      </w:r>
    </w:p>
    <w:p>
      <w:pPr>
        <w:pStyle w:val="Heading4"/>
        <w:jc w:val="left"/>
      </w:pPr>
      <w:r>
        <w:rPr>
          <w:b/>
          <w:color w:val="1E293A"/>
          <w:sz w:val="22"/>
        </w:rPr>
        <w:t>贯穿始终的持续集成与交付实践</w:t>
      </w:r>
    </w:p>
    <w:p>
      <w:pPr>
        <w:pStyle w:val="Heading3"/>
        <w:jc w:val="left"/>
      </w:pPr>
      <w:r>
        <w:rPr>
          <w:b/>
          <w:color w:val="6B46D1"/>
          <w:sz w:val="26"/>
        </w:rPr>
        <w:t>3.1.2 核心功能优先交付原则</w:t>
      </w:r>
    </w:p>
    <w:p>
      <w:pPr>
        <w:pStyle w:val="Heading4"/>
        <w:jc w:val="left"/>
      </w:pPr>
      <w:r>
        <w:rPr>
          <w:b/>
          <w:color w:val="1E293A"/>
          <w:sz w:val="22"/>
        </w:rPr>
        <w:t>基于业务价值与风险化解的价值功能识别与排序</w:t>
      </w:r>
    </w:p>
    <w:p>
      <w:pPr>
        <w:pStyle w:val="Heading4"/>
        <w:jc w:val="left"/>
      </w:pPr>
      <w:r>
        <w:rPr>
          <w:b/>
          <w:color w:val="1E293A"/>
          <w:sz w:val="22"/>
        </w:rPr>
        <w:t>以快速验证为导向的最小可行产品迭代路径</w:t>
      </w:r>
    </w:p>
    <w:p>
      <w:pPr>
        <w:pStyle w:val="Heading4"/>
        <w:jc w:val="left"/>
      </w:pPr>
      <w:r>
        <w:rPr>
          <w:b/>
          <w:color w:val="1E293A"/>
          <w:sz w:val="22"/>
        </w:rPr>
        <w:t>以演示成果为锚点的演示驱动开发</w:t>
      </w:r>
    </w:p>
    <w:p>
      <w:pPr>
        <w:pStyle w:val="Heading3"/>
        <w:jc w:val="left"/>
      </w:pPr>
      <w:r>
        <w:rPr>
          <w:b/>
          <w:color w:val="6B46D1"/>
          <w:sz w:val="26"/>
        </w:rPr>
        <w:t>3.1.3 风险前置管理原则</w:t>
      </w:r>
    </w:p>
    <w:p>
      <w:pPr>
        <w:pStyle w:val="Heading4"/>
        <w:jc w:val="left"/>
      </w:pPr>
      <w:r>
        <w:rPr>
          <w:b/>
          <w:color w:val="1E293A"/>
          <w:sz w:val="22"/>
        </w:rPr>
        <w:t>需求风险的系统性管控</w:t>
      </w:r>
    </w:p>
    <w:p>
      <w:pPr>
        <w:pStyle w:val="Heading4"/>
        <w:jc w:val="left"/>
      </w:pPr>
      <w:r>
        <w:rPr>
          <w:b/>
          <w:color w:val="1E293A"/>
          <w:sz w:val="22"/>
        </w:rPr>
        <w:t>技术环境与集成风险的早期破解</w:t>
      </w:r>
    </w:p>
    <w:p>
      <w:pPr>
        <w:pStyle w:val="Heading4"/>
        <w:jc w:val="left"/>
      </w:pPr>
      <w:r>
        <w:rPr>
          <w:b/>
          <w:color w:val="1E293A"/>
          <w:sz w:val="22"/>
        </w:rPr>
        <w:t>项目资源与进度风险的预防性管理</w:t>
      </w:r>
    </w:p>
    <w:p>
      <w:pPr>
        <w:pStyle w:val="Heading2"/>
        <w:jc w:val="left"/>
      </w:pPr>
      <w:r>
        <w:rPr>
          <w:b/>
          <w:color w:val="175E51"/>
          <w:sz w:val="30"/>
        </w:rPr>
        <w:t>AI应用开发流程图</w:t>
      </w:r>
    </w:p>
    <w:p>
      <w:pPr>
        <w:jc w:val="center"/>
      </w:pPr>
      <w:r>
        <w:drawing>
          <wp:inline xmlns:a="http://schemas.openxmlformats.org/drawingml/2006/main" xmlns:pic="http://schemas.openxmlformats.org/drawingml/2006/picture">
            <wp:extent cx="5029200" cy="3803010"/>
            <wp:docPr id="7" name="Picture 7"/>
            <wp:cNvGraphicFramePr>
              <a:graphicFrameLocks noChangeAspect="1"/>
            </wp:cNvGraphicFramePr>
            <a:graphic>
              <a:graphicData uri="http://schemas.openxmlformats.org/drawingml/2006/picture">
                <pic:pic>
                  <pic:nvPicPr>
                    <pic:cNvPr id="0" name="04_ai_app_dev_flow.png"/>
                    <pic:cNvPicPr/>
                  </pic:nvPicPr>
                  <pic:blipFill>
                    <a:blip r:embed="rId15"/>
                    <a:stretch>
                      <a:fillRect/>
                    </a:stretch>
                  </pic:blipFill>
                  <pic:spPr>
                    <a:xfrm>
                      <a:off x="0" y="0"/>
                      <a:ext cx="5029200" cy="3803010"/>
                    </a:xfrm>
                    <a:prstGeom prst="rect"/>
                  </pic:spPr>
                </pic:pic>
              </a:graphicData>
            </a:graphic>
          </wp:inline>
        </w:drawing>
      </w:r>
    </w:p>
    <w:p>
      <w:pPr>
        <w:jc w:val="center"/>
      </w:pPr>
      <w:r>
        <w:rPr>
          <w:i/>
          <w:color w:val="46556E"/>
          <w:sz w:val="18"/>
        </w:rPr>
        <w:t>图3-2 AI应用开发与管理流程图</w:t>
      </w:r>
    </w:p>
    <w:p/>
    <w:p>
      <w:pPr>
        <w:pStyle w:val="Heading2"/>
        <w:jc w:val="left"/>
      </w:pPr>
      <w:r>
        <w:rPr>
          <w:b/>
          <w:color w:val="175E51"/>
          <w:sz w:val="30"/>
        </w:rPr>
        <w:t>3.2 项目实施里程碑计划</w:t>
      </w:r>
    </w:p>
    <w:p>
      <w:pPr>
        <w:pStyle w:val="Heading3"/>
        <w:jc w:val="left"/>
      </w:pPr>
      <w:r>
        <w:rPr>
          <w:b/>
          <w:color w:val="6B46D1"/>
          <w:sz w:val="26"/>
        </w:rPr>
        <w:t>3.2.1 项目总体时间表</w:t>
      </w:r>
    </w:p>
    <w:p>
      <w:pPr>
        <w:pStyle w:val="Heading3"/>
        <w:jc w:val="left"/>
      </w:pPr>
      <w:r>
        <w:rPr>
          <w:b/>
          <w:color w:val="6B46D1"/>
          <w:sz w:val="26"/>
        </w:rPr>
        <w:t>3.2.2 详细阶段计划</w:t>
      </w:r>
    </w:p>
    <w:p>
      <w:pPr>
        <w:pStyle w:val="Heading2"/>
        <w:jc w:val="left"/>
      </w:pPr>
      <w:r>
        <w:rPr>
          <w:b/>
          <w:color w:val="175E51"/>
          <w:sz w:val="30"/>
        </w:rPr>
        <w:t>3.3 项目团队与职责分工</w:t>
      </w:r>
    </w:p>
    <w:p>
      <w:pPr>
        <w:pStyle w:val="Heading3"/>
        <w:jc w:val="left"/>
      </w:pPr>
      <w:r>
        <w:rPr>
          <w:b/>
          <w:color w:val="6B46D1"/>
          <w:sz w:val="26"/>
        </w:rPr>
        <w:t>3.3.1 团队组织架构</w:t>
      </w:r>
    </w:p>
    <w:p>
      <w:pPr>
        <w:pStyle w:val="Heading3"/>
        <w:jc w:val="left"/>
      </w:pPr>
      <w:r>
        <w:rPr>
          <w:b/>
          <w:color w:val="6B46D1"/>
          <w:sz w:val="26"/>
        </w:rPr>
        <w:t>3.3.2 驻场服务团队配置</w:t>
      </w:r>
    </w:p>
    <w:p>
      <w:pPr>
        <w:pStyle w:val="Heading2"/>
        <w:jc w:val="left"/>
      </w:pPr>
      <w:r>
        <w:rPr>
          <w:b/>
          <w:color w:val="175E51"/>
          <w:sz w:val="30"/>
        </w:rPr>
        <w:t>3.4 知识库建设实施计划</w:t>
      </w:r>
    </w:p>
    <w:p>
      <w:pPr>
        <w:pStyle w:val="Heading3"/>
        <w:jc w:val="left"/>
      </w:pPr>
      <w:r>
        <w:rPr>
          <w:b/>
          <w:color w:val="6B46D1"/>
          <w:sz w:val="26"/>
        </w:rPr>
        <w:t>3.4.1 数据采集与整理</w:t>
      </w:r>
    </w:p>
    <w:p>
      <w:pPr>
        <w:pStyle w:val="Heading3"/>
        <w:jc w:val="left"/>
      </w:pPr>
      <w:r>
        <w:rPr>
          <w:b/>
          <w:color w:val="6B46D1"/>
          <w:sz w:val="26"/>
        </w:rPr>
        <w:t>3.4.2 知识分类与标注</w:t>
      </w:r>
    </w:p>
    <w:p>
      <w:pPr>
        <w:pStyle w:val="Heading3"/>
        <w:jc w:val="left"/>
      </w:pPr>
      <w:r>
        <w:rPr>
          <w:b/>
          <w:color w:val="6B46D1"/>
          <w:sz w:val="26"/>
        </w:rPr>
        <w:t>3.4.3 知识图谱构建</w:t>
      </w:r>
    </w:p>
    <w:p>
      <w:pPr>
        <w:pStyle w:val="Heading2"/>
        <w:jc w:val="left"/>
      </w:pPr>
      <w:r>
        <w:rPr>
          <w:b/>
          <w:color w:val="175E51"/>
          <w:sz w:val="30"/>
        </w:rPr>
        <w:t>3.5 平台开发实施计划</w:t>
      </w:r>
    </w:p>
    <w:p>
      <w:pPr>
        <w:pStyle w:val="Heading3"/>
        <w:jc w:val="left"/>
      </w:pPr>
      <w:r>
        <w:rPr>
          <w:b/>
          <w:color w:val="6B46D1"/>
          <w:sz w:val="26"/>
        </w:rPr>
        <w:t>3.5.1 开发环境与工具链</w:t>
      </w:r>
    </w:p>
    <w:p>
      <w:pPr>
        <w:pStyle w:val="Heading3"/>
        <w:jc w:val="left"/>
      </w:pPr>
      <w:r>
        <w:rPr>
          <w:b/>
          <w:color w:val="6B46D1"/>
          <w:sz w:val="26"/>
        </w:rPr>
        <w:t>3.5.2 核心功能开发路线</w:t>
      </w:r>
    </w:p>
    <w:p>
      <w:pPr>
        <w:pStyle w:val="Heading3"/>
        <w:jc w:val="left"/>
      </w:pPr>
      <w:r>
        <w:rPr>
          <w:b/>
          <w:color w:val="6B46D1"/>
          <w:sz w:val="26"/>
        </w:rPr>
        <w:t>3.5.3 迭代开发与版本发布</w:t>
      </w:r>
    </w:p>
    <w:p>
      <w:pPr>
        <w:pStyle w:val="Heading2"/>
        <w:jc w:val="left"/>
      </w:pPr>
      <w:r>
        <w:rPr>
          <w:b/>
          <w:color w:val="175E51"/>
          <w:sz w:val="30"/>
        </w:rPr>
        <w:t>3.6 系统集成与测试计划</w:t>
      </w:r>
    </w:p>
    <w:p>
      <w:pPr>
        <w:pStyle w:val="Heading3"/>
        <w:jc w:val="left"/>
      </w:pPr>
      <w:r>
        <w:rPr>
          <w:b/>
          <w:color w:val="6B46D1"/>
          <w:sz w:val="26"/>
        </w:rPr>
        <w:t>3.6.1 集成测试策略</w:t>
      </w:r>
    </w:p>
    <w:p>
      <w:pPr>
        <w:pStyle w:val="Heading3"/>
        <w:jc w:val="left"/>
      </w:pPr>
      <w:r>
        <w:rPr>
          <w:b/>
          <w:color w:val="6B46D1"/>
          <w:sz w:val="26"/>
        </w:rPr>
        <w:t>3.6.2 性能测试方案</w:t>
      </w:r>
    </w:p>
    <w:p>
      <w:pPr>
        <w:pStyle w:val="Heading3"/>
        <w:jc w:val="left"/>
      </w:pPr>
      <w:r>
        <w:rPr>
          <w:b/>
          <w:color w:val="6B46D1"/>
          <w:sz w:val="26"/>
        </w:rPr>
        <w:t>3.6.3 安全测试方案</w:t>
      </w:r>
    </w:p>
    <w:p>
      <w:pPr>
        <w:pStyle w:val="Heading2"/>
        <w:jc w:val="left"/>
      </w:pPr>
      <w:r>
        <w:rPr>
          <w:b/>
          <w:color w:val="175E51"/>
          <w:sz w:val="30"/>
        </w:rPr>
        <w:t>3.7 培训与交付计划</w:t>
      </w:r>
    </w:p>
    <w:p>
      <w:pPr>
        <w:pStyle w:val="Heading3"/>
        <w:jc w:val="left"/>
      </w:pPr>
      <w:r>
        <w:rPr>
          <w:b/>
          <w:color w:val="6B46D1"/>
          <w:sz w:val="26"/>
        </w:rPr>
        <w:t>3.7.1 培训方案设计</w:t>
      </w:r>
    </w:p>
    <w:p>
      <w:pPr>
        <w:pStyle w:val="Heading3"/>
        <w:jc w:val="left"/>
      </w:pPr>
      <w:r>
        <w:rPr>
          <w:b/>
          <w:color w:val="6B46D1"/>
          <w:sz w:val="26"/>
        </w:rPr>
        <w:t>3.7.2 交付文档体系</w:t>
      </w:r>
    </w:p>
    <w:p>
      <w:pPr>
        <w:pStyle w:val="Heading3"/>
        <w:jc w:val="left"/>
      </w:pPr>
      <w:r>
        <w:rPr>
          <w:b/>
          <w:color w:val="6B46D1"/>
          <w:sz w:val="26"/>
        </w:rPr>
        <w:t>3.7.3 验收流程与标准</w:t>
      </w:r>
    </w:p>
    <w:p>
      <w:pPr>
        <w:pStyle w:val="Heading1"/>
        <w:jc w:val="left"/>
      </w:pPr>
      <w:r>
        <w:rPr>
          <w:b/>
          <w:color w:val="1A56DB"/>
          <w:sz w:val="36"/>
        </w:rPr>
        <w:t>4. 技术实现方案</w:t>
      </w:r>
    </w:p>
    <w:p>
      <w:pPr>
        <w:pStyle w:val="Heading2"/>
        <w:jc w:val="left"/>
      </w:pPr>
      <w:r>
        <w:rPr>
          <w:b/>
          <w:color w:val="175E51"/>
          <w:sz w:val="30"/>
        </w:rPr>
        <w:t>模型持续学习进化循环图</w:t>
      </w:r>
    </w:p>
    <w:p>
      <w:pPr>
        <w:jc w:val="center"/>
      </w:pPr>
      <w:r>
        <w:drawing>
          <wp:inline xmlns:a="http://schemas.openxmlformats.org/drawingml/2006/main" xmlns:pic="http://schemas.openxmlformats.org/drawingml/2006/picture">
            <wp:extent cx="5029200" cy="5237427"/>
            <wp:docPr id="8" name="Picture 8"/>
            <wp:cNvGraphicFramePr>
              <a:graphicFrameLocks noChangeAspect="1"/>
            </wp:cNvGraphicFramePr>
            <a:graphic>
              <a:graphicData uri="http://schemas.openxmlformats.org/drawingml/2006/picture">
                <pic:pic>
                  <pic:nvPicPr>
                    <pic:cNvPr id="0" name="05_model_evolution_cycle.png"/>
                    <pic:cNvPicPr/>
                  </pic:nvPicPr>
                  <pic:blipFill>
                    <a:blip r:embed="rId16"/>
                    <a:stretch>
                      <a:fillRect/>
                    </a:stretch>
                  </pic:blipFill>
                  <pic:spPr>
                    <a:xfrm>
                      <a:off x="0" y="0"/>
                      <a:ext cx="5029200" cy="5237427"/>
                    </a:xfrm>
                    <a:prstGeom prst="rect"/>
                  </pic:spPr>
                </pic:pic>
              </a:graphicData>
            </a:graphic>
          </wp:inline>
        </w:drawing>
      </w:r>
    </w:p>
    <w:p>
      <w:pPr>
        <w:jc w:val="center"/>
      </w:pPr>
      <w:r>
        <w:rPr>
          <w:i/>
          <w:color w:val="46556E"/>
          <w:sz w:val="18"/>
        </w:rPr>
        <w:t>图4-1 模型持续学习进化循环图</w:t>
      </w:r>
    </w:p>
    <w:p/>
    <w:p>
      <w:pPr>
        <w:pStyle w:val="Heading2"/>
        <w:jc w:val="left"/>
      </w:pPr>
      <w:r>
        <w:rPr>
          <w:b/>
          <w:color w:val="175E51"/>
          <w:sz w:val="30"/>
        </w:rPr>
        <w:t>4.1 RAG检索增强技术方案</w:t>
      </w:r>
    </w:p>
    <w:p>
      <w:pPr>
        <w:pStyle w:val="Heading3"/>
        <w:jc w:val="left"/>
      </w:pPr>
      <w:r>
        <w:rPr>
          <w:b/>
          <w:color w:val="6B46D1"/>
          <w:sz w:val="26"/>
        </w:rPr>
        <w:t>4.1.1 RAG技术原理与架构</w:t>
      </w:r>
    </w:p>
    <w:p>
      <w:pPr>
        <w:pStyle w:val="Heading3"/>
        <w:jc w:val="left"/>
      </w:pPr>
      <w:r>
        <w:rPr>
          <w:b/>
          <w:color w:val="6B46D1"/>
          <w:sz w:val="26"/>
        </w:rPr>
        <w:t>4.1.2 向量检索与混合检索实现</w:t>
      </w:r>
    </w:p>
    <w:p>
      <w:pPr>
        <w:pStyle w:val="Heading3"/>
        <w:jc w:val="left"/>
      </w:pPr>
      <w:r>
        <w:rPr>
          <w:b/>
          <w:color w:val="6B46D1"/>
          <w:sz w:val="26"/>
        </w:rPr>
        <w:t>4.1.3 检索效果评估与优化</w:t>
      </w:r>
    </w:p>
    <w:p>
      <w:pPr>
        <w:pStyle w:val="Heading2"/>
        <w:jc w:val="left"/>
      </w:pPr>
      <w:r>
        <w:rPr>
          <w:b/>
          <w:color w:val="175E51"/>
          <w:sz w:val="30"/>
        </w:rPr>
        <w:t>用户画像构建体系图</w:t>
      </w:r>
    </w:p>
    <w:p>
      <w:pPr>
        <w:jc w:val="center"/>
      </w:pPr>
      <w:r>
        <w:drawing>
          <wp:inline xmlns:a="http://schemas.openxmlformats.org/drawingml/2006/main" xmlns:pic="http://schemas.openxmlformats.org/drawingml/2006/picture">
            <wp:extent cx="5029200" cy="3334173"/>
            <wp:docPr id="9" name="Picture 9"/>
            <wp:cNvGraphicFramePr>
              <a:graphicFrameLocks noChangeAspect="1"/>
            </wp:cNvGraphicFramePr>
            <a:graphic>
              <a:graphicData uri="http://schemas.openxmlformats.org/drawingml/2006/picture">
                <pic:pic>
                  <pic:nvPicPr>
                    <pic:cNvPr id="0" name="06_user_persona_system.png"/>
                    <pic:cNvPicPr/>
                  </pic:nvPicPr>
                  <pic:blipFill>
                    <a:blip r:embed="rId17"/>
                    <a:stretch>
                      <a:fillRect/>
                    </a:stretch>
                  </pic:blipFill>
                  <pic:spPr>
                    <a:xfrm>
                      <a:off x="0" y="0"/>
                      <a:ext cx="5029200" cy="3334173"/>
                    </a:xfrm>
                    <a:prstGeom prst="rect"/>
                  </pic:spPr>
                </pic:pic>
              </a:graphicData>
            </a:graphic>
          </wp:inline>
        </w:drawing>
      </w:r>
    </w:p>
    <w:p>
      <w:pPr>
        <w:jc w:val="center"/>
      </w:pPr>
      <w:r>
        <w:rPr>
          <w:i/>
          <w:color w:val="46556E"/>
          <w:sz w:val="18"/>
        </w:rPr>
        <w:t>图4-2 用户画像多维构建体系图</w:t>
      </w:r>
    </w:p>
    <w:p/>
    <w:p>
      <w:pPr>
        <w:pStyle w:val="Heading2"/>
        <w:jc w:val="left"/>
      </w:pPr>
      <w:r>
        <w:rPr>
          <w:b/>
          <w:color w:val="175E51"/>
          <w:sz w:val="30"/>
        </w:rPr>
        <w:t>4.2 大语言模型集成方案</w:t>
      </w:r>
    </w:p>
    <w:p>
      <w:pPr>
        <w:pStyle w:val="Heading3"/>
        <w:jc w:val="left"/>
      </w:pPr>
      <w:r>
        <w:rPr>
          <w:b/>
          <w:color w:val="6B46D1"/>
          <w:sz w:val="26"/>
        </w:rPr>
        <w:t>4.2.1 模型选型与部署策略</w:t>
      </w:r>
    </w:p>
    <w:p>
      <w:pPr>
        <w:pStyle w:val="Heading3"/>
        <w:jc w:val="left"/>
      </w:pPr>
      <w:r>
        <w:rPr>
          <w:b/>
          <w:color w:val="6B46D1"/>
          <w:sz w:val="26"/>
        </w:rPr>
        <w:t>4.2.2 Prompt工程与优化</w:t>
      </w:r>
    </w:p>
    <w:p>
      <w:pPr>
        <w:pStyle w:val="Heading3"/>
        <w:jc w:val="left"/>
      </w:pPr>
      <w:r>
        <w:rPr>
          <w:b/>
          <w:color w:val="6B46D1"/>
          <w:sz w:val="26"/>
        </w:rPr>
        <w:t>4.2.3 输出质量控制与安全审核</w:t>
      </w:r>
    </w:p>
    <w:p>
      <w:pPr>
        <w:pStyle w:val="Heading2"/>
        <w:jc w:val="left"/>
      </w:pPr>
      <w:r>
        <w:rPr>
          <w:b/>
          <w:color w:val="175E51"/>
          <w:sz w:val="30"/>
        </w:rPr>
        <w:t>检索效果评估指标图</w:t>
      </w:r>
    </w:p>
    <w:p>
      <w:pPr>
        <w:jc w:val="center"/>
      </w:pPr>
      <w:r>
        <w:drawing>
          <wp:inline xmlns:a="http://schemas.openxmlformats.org/drawingml/2006/main" xmlns:pic="http://schemas.openxmlformats.org/drawingml/2006/picture">
            <wp:extent cx="4572000" cy="3269381"/>
            <wp:docPr id="10" name="Picture 10"/>
            <wp:cNvGraphicFramePr>
              <a:graphicFrameLocks noChangeAspect="1"/>
            </wp:cNvGraphicFramePr>
            <a:graphic>
              <a:graphicData uri="http://schemas.openxmlformats.org/drawingml/2006/picture">
                <pic:pic>
                  <pic:nvPicPr>
                    <pic:cNvPr id="0" name="11_retrieval_metrics.png"/>
                    <pic:cNvPicPr/>
                  </pic:nvPicPr>
                  <pic:blipFill>
                    <a:blip r:embed="rId18"/>
                    <a:stretch>
                      <a:fillRect/>
                    </a:stretch>
                  </pic:blipFill>
                  <pic:spPr>
                    <a:xfrm>
                      <a:off x="0" y="0"/>
                      <a:ext cx="4572000" cy="3269381"/>
                    </a:xfrm>
                    <a:prstGeom prst="rect"/>
                  </pic:spPr>
                </pic:pic>
              </a:graphicData>
            </a:graphic>
          </wp:inline>
        </w:drawing>
      </w:r>
    </w:p>
    <w:p>
      <w:pPr>
        <w:jc w:val="center"/>
      </w:pPr>
      <w:r>
        <w:rPr>
          <w:i/>
          <w:color w:val="46556E"/>
          <w:sz w:val="18"/>
        </w:rPr>
        <w:t>图4-3 检索效果评估指标体系图</w:t>
      </w:r>
    </w:p>
    <w:p/>
    <w:p>
      <w:pPr>
        <w:pStyle w:val="Heading2"/>
        <w:jc w:val="left"/>
      </w:pPr>
      <w:r>
        <w:rPr>
          <w:b/>
          <w:color w:val="175E51"/>
          <w:sz w:val="30"/>
        </w:rPr>
        <w:t>4.3 知识库检索优化方案</w:t>
      </w:r>
    </w:p>
    <w:p>
      <w:pPr>
        <w:pStyle w:val="Heading3"/>
        <w:jc w:val="left"/>
      </w:pPr>
      <w:r>
        <w:rPr>
          <w:b/>
          <w:color w:val="6B46D1"/>
          <w:sz w:val="26"/>
        </w:rPr>
        <w:t>4.3.1 文档分块策略优化</w:t>
      </w:r>
    </w:p>
    <w:p>
      <w:pPr>
        <w:pStyle w:val="Heading3"/>
        <w:jc w:val="left"/>
      </w:pPr>
      <w:r>
        <w:rPr>
          <w:b/>
          <w:color w:val="6B46D1"/>
          <w:sz w:val="26"/>
        </w:rPr>
        <w:t>4.3.2 检索排序算法优化</w:t>
      </w:r>
    </w:p>
    <w:p>
      <w:pPr>
        <w:pStyle w:val="Heading3"/>
        <w:jc w:val="left"/>
      </w:pPr>
      <w:r>
        <w:rPr>
          <w:b/>
          <w:color w:val="6B46D1"/>
          <w:sz w:val="26"/>
        </w:rPr>
        <w:t>4.3.3 检索缓存与加速策略</w:t>
      </w:r>
    </w:p>
    <w:p>
      <w:pPr>
        <w:pStyle w:val="Heading2"/>
        <w:jc w:val="left"/>
      </w:pPr>
      <w:r>
        <w:rPr>
          <w:b/>
          <w:color w:val="175E51"/>
          <w:sz w:val="30"/>
        </w:rPr>
        <w:t>4.4 用户画像技术方案</w:t>
      </w:r>
    </w:p>
    <w:p>
      <w:pPr>
        <w:pStyle w:val="Heading3"/>
        <w:jc w:val="left"/>
      </w:pPr>
      <w:r>
        <w:rPr>
          <w:b/>
          <w:color w:val="6B46D1"/>
          <w:sz w:val="26"/>
        </w:rPr>
        <w:t>4.4.1 多维画像构建体系</w:t>
      </w:r>
    </w:p>
    <w:p>
      <w:pPr>
        <w:pStyle w:val="Heading3"/>
        <w:jc w:val="left"/>
      </w:pPr>
      <w:r>
        <w:rPr>
          <w:b/>
          <w:color w:val="6B46D1"/>
          <w:sz w:val="26"/>
        </w:rPr>
        <w:t>4.4.2 画像实时更新机制</w:t>
      </w:r>
    </w:p>
    <w:p>
      <w:pPr>
        <w:pStyle w:val="Heading3"/>
        <w:jc w:val="left"/>
      </w:pPr>
      <w:r>
        <w:rPr>
          <w:b/>
          <w:color w:val="6B46D1"/>
          <w:sz w:val="26"/>
        </w:rPr>
        <w:t>4.4.3 个性化服务实现</w:t>
      </w:r>
    </w:p>
    <w:p>
      <w:pPr>
        <w:pStyle w:val="Heading2"/>
        <w:jc w:val="left"/>
      </w:pPr>
      <w:r>
        <w:rPr>
          <w:b/>
          <w:color w:val="175E51"/>
          <w:sz w:val="30"/>
        </w:rPr>
        <w:t>4.5 系统性能优化方案</w:t>
      </w:r>
    </w:p>
    <w:p>
      <w:pPr>
        <w:pStyle w:val="Heading3"/>
        <w:jc w:val="left"/>
      </w:pPr>
      <w:r>
        <w:rPr>
          <w:b/>
          <w:color w:val="6B46D1"/>
          <w:sz w:val="26"/>
        </w:rPr>
        <w:t>4.5.1 推理加速与量化优化</w:t>
      </w:r>
    </w:p>
    <w:p>
      <w:pPr>
        <w:pStyle w:val="Heading3"/>
        <w:jc w:val="left"/>
      </w:pPr>
      <w:r>
        <w:rPr>
          <w:b/>
          <w:color w:val="6B46D1"/>
          <w:sz w:val="26"/>
        </w:rPr>
        <w:t>4.5.2 缓存架构与响应优化</w:t>
      </w:r>
    </w:p>
    <w:p>
      <w:pPr>
        <w:pStyle w:val="Heading3"/>
        <w:jc w:val="left"/>
      </w:pPr>
      <w:r>
        <w:rPr>
          <w:b/>
          <w:color w:val="6B46D1"/>
          <w:sz w:val="26"/>
        </w:rPr>
        <w:t>4.5.3 负载均衡与弹性伸缩</w:t>
      </w:r>
    </w:p>
    <w:p>
      <w:pPr>
        <w:pStyle w:val="Heading1"/>
        <w:jc w:val="left"/>
      </w:pPr>
      <w:r>
        <w:rPr>
          <w:b/>
          <w:color w:val="1A56DB"/>
          <w:sz w:val="36"/>
        </w:rPr>
        <w:t>5. 运维保障与安全方案</w:t>
      </w:r>
    </w:p>
    <w:p>
      <w:pPr>
        <w:pStyle w:val="Heading2"/>
        <w:jc w:val="left"/>
      </w:pPr>
      <w:r>
        <w:rPr>
          <w:b/>
          <w:color w:val="175E51"/>
          <w:sz w:val="30"/>
        </w:rPr>
        <w:t>可观测性监控体系图</w:t>
      </w:r>
    </w:p>
    <w:p>
      <w:pPr>
        <w:jc w:val="center"/>
      </w:pPr>
      <w:r>
        <w:drawing>
          <wp:inline xmlns:a="http://schemas.openxmlformats.org/drawingml/2006/main" xmlns:pic="http://schemas.openxmlformats.org/drawingml/2006/picture">
            <wp:extent cx="5029200" cy="3803010"/>
            <wp:docPr id="11" name="Picture 11"/>
            <wp:cNvGraphicFramePr>
              <a:graphicFrameLocks noChangeAspect="1"/>
            </wp:cNvGraphicFramePr>
            <a:graphic>
              <a:graphicData uri="http://schemas.openxmlformats.org/drawingml/2006/picture">
                <pic:pic>
                  <pic:nvPicPr>
                    <pic:cNvPr id="0" name="10_monitoring_architecture.png"/>
                    <pic:cNvPicPr/>
                  </pic:nvPicPr>
                  <pic:blipFill>
                    <a:blip r:embed="rId19"/>
                    <a:stretch>
                      <a:fillRect/>
                    </a:stretch>
                  </pic:blipFill>
                  <pic:spPr>
                    <a:xfrm>
                      <a:off x="0" y="0"/>
                      <a:ext cx="5029200" cy="3803010"/>
                    </a:xfrm>
                    <a:prstGeom prst="rect"/>
                  </pic:spPr>
                </pic:pic>
              </a:graphicData>
            </a:graphic>
          </wp:inline>
        </w:drawing>
      </w:r>
    </w:p>
    <w:p>
      <w:pPr>
        <w:jc w:val="center"/>
      </w:pPr>
      <w:r>
        <w:rPr>
          <w:i/>
          <w:color w:val="46556E"/>
          <w:sz w:val="18"/>
        </w:rPr>
        <w:t>图5-1 可观测性监控体系架构图</w:t>
      </w:r>
    </w:p>
    <w:p/>
    <w:p>
      <w:pPr>
        <w:pStyle w:val="Heading2"/>
        <w:jc w:val="left"/>
      </w:pPr>
      <w:r>
        <w:rPr>
          <w:b/>
          <w:color w:val="175E51"/>
          <w:sz w:val="30"/>
        </w:rPr>
        <w:t>5.1 运维监控体系方案</w:t>
      </w:r>
    </w:p>
    <w:p>
      <w:pPr>
        <w:pStyle w:val="Heading3"/>
        <w:jc w:val="left"/>
      </w:pPr>
      <w:r>
        <w:rPr>
          <w:b/>
          <w:color w:val="6B46D1"/>
          <w:sz w:val="26"/>
        </w:rPr>
        <w:t>5.1.1 监控指标体系设计</w:t>
      </w:r>
    </w:p>
    <w:p>
      <w:pPr>
        <w:pStyle w:val="Heading3"/>
        <w:jc w:val="left"/>
      </w:pPr>
      <w:r>
        <w:rPr>
          <w:b/>
          <w:color w:val="6B46D1"/>
          <w:sz w:val="26"/>
        </w:rPr>
        <w:t>5.1.2 告警策略与通知机制</w:t>
      </w:r>
    </w:p>
    <w:p>
      <w:pPr>
        <w:pStyle w:val="Heading3"/>
        <w:jc w:val="left"/>
      </w:pPr>
      <w:r>
        <w:rPr>
          <w:b/>
          <w:color w:val="6B46D1"/>
          <w:sz w:val="26"/>
        </w:rPr>
        <w:t>5.1.3 可视化监控大屏</w:t>
      </w:r>
    </w:p>
    <w:p>
      <w:pPr>
        <w:pStyle w:val="Heading2"/>
        <w:jc w:val="left"/>
      </w:pPr>
      <w:r>
        <w:rPr>
          <w:b/>
          <w:color w:val="175E51"/>
          <w:sz w:val="30"/>
        </w:rPr>
        <w:t>回答风格自动适配图</w:t>
      </w:r>
    </w:p>
    <w:p>
      <w:pPr>
        <w:jc w:val="center"/>
      </w:pPr>
      <w:r>
        <w:drawing>
          <wp:inline xmlns:a="http://schemas.openxmlformats.org/drawingml/2006/main" xmlns:pic="http://schemas.openxmlformats.org/drawingml/2006/picture">
            <wp:extent cx="4572000" cy="3269381"/>
            <wp:docPr id="12" name="Picture 12"/>
            <wp:cNvGraphicFramePr>
              <a:graphicFrameLocks noChangeAspect="1"/>
            </wp:cNvGraphicFramePr>
            <a:graphic>
              <a:graphicData uri="http://schemas.openxmlformats.org/drawingml/2006/picture">
                <pic:pic>
                  <pic:nvPicPr>
                    <pic:cNvPr id="0" name="11_retrieval_metrics.png"/>
                    <pic:cNvPicPr/>
                  </pic:nvPicPr>
                  <pic:blipFill>
                    <a:blip r:embed="rId18"/>
                    <a:stretch>
                      <a:fillRect/>
                    </a:stretch>
                  </pic:blipFill>
                  <pic:spPr>
                    <a:xfrm>
                      <a:off x="0" y="0"/>
                      <a:ext cx="4572000" cy="3269381"/>
                    </a:xfrm>
                    <a:prstGeom prst="rect"/>
                  </pic:spPr>
                </pic:pic>
              </a:graphicData>
            </a:graphic>
          </wp:inline>
        </w:drawing>
      </w:r>
    </w:p>
    <w:p>
      <w:pPr>
        <w:jc w:val="center"/>
      </w:pPr>
      <w:r>
        <w:rPr>
          <w:i/>
          <w:color w:val="46556E"/>
          <w:sz w:val="18"/>
        </w:rPr>
        <w:t>图5-2 回答风格自动适配流程图</w:t>
      </w:r>
    </w:p>
    <w:p/>
    <w:p>
      <w:pPr>
        <w:pStyle w:val="Heading2"/>
        <w:jc w:val="left"/>
      </w:pPr>
      <w:r>
        <w:rPr>
          <w:b/>
          <w:color w:val="175E51"/>
          <w:sz w:val="30"/>
        </w:rPr>
        <w:t>5.2 故障应急响应方案</w:t>
      </w:r>
    </w:p>
    <w:p>
      <w:pPr>
        <w:pStyle w:val="Heading3"/>
        <w:jc w:val="left"/>
      </w:pPr>
      <w:r>
        <w:rPr>
          <w:b/>
          <w:color w:val="6B46D1"/>
          <w:sz w:val="26"/>
        </w:rPr>
        <w:t>5.2.1 故障分级与响应时效</w:t>
      </w:r>
    </w:p>
    <w:p>
      <w:pPr>
        <w:pStyle w:val="Heading3"/>
        <w:jc w:val="left"/>
      </w:pPr>
      <w:r>
        <w:rPr>
          <w:b/>
          <w:color w:val="6B46D1"/>
          <w:sz w:val="26"/>
        </w:rPr>
        <w:t>5.2.2 故障处理流程</w:t>
      </w:r>
    </w:p>
    <w:p>
      <w:pPr>
        <w:pStyle w:val="Heading3"/>
        <w:jc w:val="left"/>
      </w:pPr>
      <w:r>
        <w:rPr>
          <w:b/>
          <w:color w:val="6B46D1"/>
          <w:sz w:val="26"/>
        </w:rPr>
        <w:t>5.2.3 故障复盘与改进</w:t>
      </w:r>
    </w:p>
    <w:p>
      <w:pPr>
        <w:pStyle w:val="Heading2"/>
        <w:jc w:val="left"/>
      </w:pPr>
      <w:r>
        <w:rPr>
          <w:b/>
          <w:color w:val="175E51"/>
          <w:sz w:val="30"/>
        </w:rPr>
        <w:t>5.3 数据备份与恢复方案</w:t>
      </w:r>
    </w:p>
    <w:p>
      <w:pPr>
        <w:pStyle w:val="Heading3"/>
        <w:jc w:val="left"/>
      </w:pPr>
      <w:r>
        <w:rPr>
          <w:b/>
          <w:color w:val="6B46D1"/>
          <w:sz w:val="26"/>
        </w:rPr>
        <w:t>5.3.1 备份策略设计</w:t>
      </w:r>
    </w:p>
    <w:p>
      <w:pPr>
        <w:pStyle w:val="Heading3"/>
        <w:jc w:val="left"/>
      </w:pPr>
      <w:r>
        <w:rPr>
          <w:b/>
          <w:color w:val="6B46D1"/>
          <w:sz w:val="26"/>
        </w:rPr>
        <w:t>5.3.2 恢复演练机制</w:t>
      </w:r>
    </w:p>
    <w:p>
      <w:pPr>
        <w:pStyle w:val="Heading2"/>
        <w:jc w:val="left"/>
      </w:pPr>
      <w:r>
        <w:rPr>
          <w:b/>
          <w:color w:val="175E51"/>
          <w:sz w:val="30"/>
        </w:rPr>
        <w:t>5.4 安全防护体系方案</w:t>
      </w:r>
    </w:p>
    <w:p>
      <w:pPr>
        <w:pStyle w:val="Heading3"/>
        <w:jc w:val="left"/>
      </w:pPr>
      <w:r>
        <w:rPr>
          <w:b/>
          <w:color w:val="6B46D1"/>
          <w:sz w:val="26"/>
        </w:rPr>
        <w:t>5.4.1 网络安全防护</w:t>
      </w:r>
    </w:p>
    <w:p>
      <w:pPr>
        <w:pStyle w:val="Heading3"/>
        <w:jc w:val="left"/>
      </w:pPr>
      <w:r>
        <w:rPr>
          <w:b/>
          <w:color w:val="6B46D1"/>
          <w:sz w:val="26"/>
        </w:rPr>
        <w:t>5.4.2 应用安全防护</w:t>
      </w:r>
    </w:p>
    <w:p>
      <w:pPr>
        <w:pStyle w:val="Heading3"/>
        <w:jc w:val="left"/>
      </w:pPr>
      <w:r>
        <w:rPr>
          <w:b/>
          <w:color w:val="6B46D1"/>
          <w:sz w:val="26"/>
        </w:rPr>
        <w:t>5.4.3 数据安全保护</w:t>
      </w:r>
    </w:p>
    <w:p>
      <w:pPr>
        <w:pStyle w:val="Heading3"/>
        <w:jc w:val="left"/>
      </w:pPr>
      <w:r>
        <w:rPr>
          <w:b/>
          <w:color w:val="6B46D1"/>
          <w:sz w:val="26"/>
        </w:rPr>
        <w:t>5.4.4 安全审计与合规</w:t>
      </w:r>
    </w:p>
    <w:p>
      <w:pPr>
        <w:pStyle w:val="Heading2"/>
        <w:jc w:val="left"/>
      </w:pPr>
      <w:r>
        <w:rPr>
          <w:b/>
          <w:color w:val="175E51"/>
          <w:sz w:val="30"/>
        </w:rPr>
        <w:t>5.5 服务保障方案</w:t>
      </w:r>
    </w:p>
    <w:p>
      <w:pPr>
        <w:pStyle w:val="Heading3"/>
        <w:jc w:val="left"/>
      </w:pPr>
      <w:r>
        <w:rPr>
          <w:b/>
          <w:color w:val="6B46D1"/>
          <w:sz w:val="26"/>
        </w:rPr>
        <w:t>5.5.1 质保期服务承诺</w:t>
      </w:r>
    </w:p>
    <w:p>
      <w:pPr>
        <w:pStyle w:val="Heading3"/>
        <w:jc w:val="left"/>
      </w:pPr>
      <w:r>
        <w:rPr>
          <w:b/>
          <w:color w:val="6B46D1"/>
          <w:sz w:val="26"/>
        </w:rPr>
        <w:t>5.5.2 质保期后服务延续</w:t>
      </w:r>
    </w:p>
    <w:p>
      <w:pPr>
        <w:pStyle w:val="Heading3"/>
        <w:jc w:val="left"/>
      </w:pPr>
      <w:r>
        <w:rPr>
          <w:b/>
          <w:color w:val="6B46D1"/>
          <w:sz w:val="26"/>
        </w:rPr>
        <w:t>5.5.3 服务质量监督</w:t>
      </w:r>
    </w:p>
    <w:p>
      <w:pPr>
        <w:pStyle w:val="Heading1"/>
        <w:jc w:val="left"/>
      </w:pPr>
      <w:r>
        <w:rPr>
          <w:b/>
          <w:color w:val="1A56DB"/>
          <w:sz w:val="36"/>
        </w:rPr>
        <w:t>6. 验收标准与交付物</w:t>
      </w:r>
    </w:p>
    <w:p>
      <w:pPr>
        <w:pStyle w:val="Heading2"/>
        <w:jc w:val="left"/>
      </w:pPr>
      <w:r>
        <w:rPr>
          <w:b/>
          <w:color w:val="175E51"/>
          <w:sz w:val="30"/>
        </w:rPr>
        <w:t>性能验收指标表</w:t>
      </w:r>
    </w:p>
    <w:tbl>
      <w:tblPr>
        <w:tblStyle w:val="TableGrid"/>
        <w:tblW w:type="auto" w:w="0"/>
        <w:jc w:val="center"/>
        <w:tblLook w:firstColumn="1" w:firstRow="1" w:lastColumn="0" w:lastRow="0" w:noHBand="0" w:noVBand="1" w:val="04A0"/>
      </w:tblPr>
      <w:tblGrid>
        <w:gridCol w:w="3041"/>
        <w:gridCol w:w="3041"/>
        <w:gridCol w:w="3041"/>
      </w:tblGrid>
      <w:tr>
        <w:tc>
          <w:tcPr>
            <w:tcW w:type="dxa" w:w="3041"/>
            <w:shd w:fill="1A56DB" w:color="auto" w:val="clear"/>
          </w:tcPr>
          <w:p>
            <w:r>
              <w:rPr>
                <w:b/>
                <w:color w:val="FFFFFF"/>
                <w:sz w:val="19"/>
              </w:rPr>
              <w:t>指标名称</w:t>
            </w:r>
          </w:p>
        </w:tc>
        <w:tc>
          <w:tcPr>
            <w:tcW w:type="dxa" w:w="3041"/>
            <w:shd w:fill="1A56DB" w:color="auto" w:val="clear"/>
          </w:tcPr>
          <w:p>
            <w:r>
              <w:rPr>
                <w:b/>
                <w:color w:val="FFFFFF"/>
                <w:sz w:val="19"/>
              </w:rPr>
              <w:t>要求值</w:t>
            </w:r>
          </w:p>
        </w:tc>
        <w:tc>
          <w:tcPr>
            <w:tcW w:type="dxa" w:w="3041"/>
            <w:shd w:fill="1A56DB" w:color="auto" w:val="clear"/>
          </w:tcPr>
          <w:p>
            <w:r>
              <w:rPr>
                <w:b/>
                <w:color w:val="FFFFFF"/>
                <w:sz w:val="19"/>
              </w:rPr>
              <w:t>测试方法</w:t>
            </w:r>
          </w:p>
        </w:tc>
      </w:tr>
      <w:tr>
        <w:tc>
          <w:tcPr>
            <w:tcW w:type="dxa" w:w="3041"/>
          </w:tcPr>
          <w:p>
            <w:r>
              <w:rPr>
                <w:color w:val="46556E"/>
                <w:sz w:val="19"/>
              </w:rPr>
              <w:t>检索召回时间</w:t>
            </w:r>
          </w:p>
        </w:tc>
        <w:tc>
          <w:tcPr>
            <w:tcW w:type="dxa" w:w="3041"/>
          </w:tcPr>
          <w:p>
            <w:r>
              <w:rPr>
                <w:color w:val="46556E"/>
                <w:sz w:val="19"/>
              </w:rPr>
              <w:t>&lt; 2秒</w:t>
            </w:r>
          </w:p>
        </w:tc>
        <w:tc>
          <w:tcPr>
            <w:tcW w:type="dxa" w:w="3041"/>
          </w:tcPr>
          <w:p>
            <w:r>
              <w:rPr>
                <w:color w:val="46556E"/>
                <w:sz w:val="19"/>
              </w:rPr>
              <w:t>标准查询集测试取平均值</w:t>
            </w:r>
          </w:p>
        </w:tc>
      </w:tr>
      <w:tr>
        <w:tc>
          <w:tcPr>
            <w:tcW w:type="dxa" w:w="3041"/>
          </w:tcPr>
          <w:p>
            <w:r>
              <w:rPr>
                <w:color w:val="46556E"/>
                <w:sz w:val="19"/>
              </w:rPr>
              <w:t>模型首字生成时间</w:t>
            </w:r>
          </w:p>
        </w:tc>
        <w:tc>
          <w:tcPr>
            <w:tcW w:type="dxa" w:w="3041"/>
          </w:tcPr>
          <w:p>
            <w:r>
              <w:rPr>
                <w:color w:val="46556E"/>
                <w:sz w:val="19"/>
              </w:rPr>
              <w:t>&lt; 2秒</w:t>
            </w:r>
          </w:p>
        </w:tc>
        <w:tc>
          <w:tcPr>
            <w:tcW w:type="dxa" w:w="3041"/>
          </w:tcPr>
          <w:p>
            <w:r>
              <w:rPr>
                <w:color w:val="46556E"/>
                <w:sz w:val="19"/>
              </w:rPr>
              <w:t>标准问题集测试取平均值</w:t>
            </w:r>
          </w:p>
        </w:tc>
      </w:tr>
      <w:tr>
        <w:tc>
          <w:tcPr>
            <w:tcW w:type="dxa" w:w="3041"/>
          </w:tcPr>
          <w:p>
            <w:r>
              <w:rPr>
                <w:color w:val="46556E"/>
                <w:sz w:val="19"/>
              </w:rPr>
              <w:t>混合检索准确率</w:t>
            </w:r>
          </w:p>
        </w:tc>
        <w:tc>
          <w:tcPr>
            <w:tcW w:type="dxa" w:w="3041"/>
          </w:tcPr>
          <w:p>
            <w:r>
              <w:rPr>
                <w:color w:val="46556E"/>
                <w:sz w:val="19"/>
              </w:rPr>
              <w:t>&gt; 90%</w:t>
            </w:r>
          </w:p>
        </w:tc>
        <w:tc>
          <w:tcPr>
            <w:tcW w:type="dxa" w:w="3041"/>
          </w:tcPr>
          <w:p>
            <w:r>
              <w:rPr>
                <w:color w:val="46556E"/>
                <w:sz w:val="19"/>
              </w:rPr>
              <w:t>标准测试集检索准确率</w:t>
            </w:r>
          </w:p>
        </w:tc>
      </w:tr>
      <w:tr>
        <w:tc>
          <w:tcPr>
            <w:tcW w:type="dxa" w:w="3041"/>
          </w:tcPr>
          <w:p>
            <w:r>
              <w:rPr>
                <w:color w:val="46556E"/>
                <w:sz w:val="19"/>
              </w:rPr>
              <w:t>引用错误率</w:t>
            </w:r>
          </w:p>
        </w:tc>
        <w:tc>
          <w:tcPr>
            <w:tcW w:type="dxa" w:w="3041"/>
          </w:tcPr>
          <w:p>
            <w:r>
              <w:rPr>
                <w:color w:val="46556E"/>
                <w:sz w:val="19"/>
              </w:rPr>
              <w:t>&lt; 5%</w:t>
            </w:r>
          </w:p>
        </w:tc>
        <w:tc>
          <w:tcPr>
            <w:tcW w:type="dxa" w:w="3041"/>
          </w:tcPr>
          <w:p>
            <w:r>
              <w:rPr>
                <w:color w:val="46556E"/>
                <w:sz w:val="19"/>
              </w:rPr>
              <w:t>随机抽样验证引用准确性</w:t>
            </w:r>
          </w:p>
        </w:tc>
      </w:tr>
      <w:tr>
        <w:tc>
          <w:tcPr>
            <w:tcW w:type="dxa" w:w="3041"/>
          </w:tcPr>
          <w:p>
            <w:r>
              <w:rPr>
                <w:color w:val="46556E"/>
                <w:sz w:val="19"/>
              </w:rPr>
              <w:t>并发支持能力</w:t>
            </w:r>
          </w:p>
        </w:tc>
        <w:tc>
          <w:tcPr>
            <w:tcW w:type="dxa" w:w="3041"/>
          </w:tcPr>
          <w:p>
            <w:r>
              <w:rPr>
                <w:color w:val="46556E"/>
                <w:sz w:val="19"/>
              </w:rPr>
              <w:t>≥ 10并发用户</w:t>
            </w:r>
          </w:p>
        </w:tc>
        <w:tc>
          <w:tcPr>
            <w:tcW w:type="dxa" w:w="3041"/>
          </w:tcPr>
          <w:p>
            <w:r>
              <w:rPr>
                <w:color w:val="46556E"/>
                <w:sz w:val="19"/>
              </w:rPr>
              <w:t>10并发压力测试</w:t>
            </w:r>
          </w:p>
        </w:tc>
      </w:tr>
    </w:tbl>
    <w:p/>
    <w:p>
      <w:pPr>
        <w:pStyle w:val="Heading2"/>
        <w:jc w:val="left"/>
      </w:pPr>
      <w:r>
        <w:rPr>
          <w:b/>
          <w:color w:val="175E51"/>
          <w:sz w:val="30"/>
        </w:rPr>
        <w:t>6.1 验收标准与验收流程</w:t>
      </w:r>
    </w:p>
    <w:p>
      <w:pPr>
        <w:pStyle w:val="Heading3"/>
        <w:jc w:val="left"/>
      </w:pPr>
      <w:r>
        <w:rPr>
          <w:b/>
          <w:color w:val="6B46D1"/>
          <w:sz w:val="26"/>
        </w:rPr>
        <w:t>6.1.1 功能验收标准</w:t>
      </w:r>
    </w:p>
    <w:p>
      <w:pPr>
        <w:pStyle w:val="Heading3"/>
        <w:jc w:val="left"/>
      </w:pPr>
      <w:r>
        <w:rPr>
          <w:b/>
          <w:color w:val="6B46D1"/>
          <w:sz w:val="26"/>
        </w:rPr>
        <w:t>6.1.2 性能验收标准</w:t>
      </w:r>
    </w:p>
    <w:p>
      <w:pPr>
        <w:pStyle w:val="Heading3"/>
        <w:jc w:val="left"/>
      </w:pPr>
      <w:r>
        <w:rPr>
          <w:b/>
          <w:color w:val="6B46D1"/>
          <w:sz w:val="26"/>
        </w:rPr>
        <w:t>6.1.3 验收流程设计</w:t>
      </w:r>
    </w:p>
    <w:p>
      <w:pPr>
        <w:pStyle w:val="Heading2"/>
        <w:jc w:val="left"/>
      </w:pPr>
      <w:r>
        <w:rPr>
          <w:b/>
          <w:color w:val="175E51"/>
          <w:sz w:val="30"/>
        </w:rPr>
        <w:t>交付物清单表</w:t>
      </w:r>
    </w:p>
    <w:tbl>
      <w:tblPr>
        <w:tblStyle w:val="TableGrid"/>
        <w:tblW w:type="auto" w:w="0"/>
        <w:jc w:val="center"/>
        <w:tblLook w:firstColumn="1" w:firstRow="1" w:lastColumn="0" w:lastRow="0" w:noHBand="0" w:noVBand="1" w:val="04A0"/>
      </w:tblPr>
      <w:tblGrid>
        <w:gridCol w:w="2280"/>
        <w:gridCol w:w="2280"/>
        <w:gridCol w:w="2280"/>
        <w:gridCol w:w="2280"/>
      </w:tblGrid>
      <w:tr>
        <w:tc>
          <w:tcPr>
            <w:tcW w:type="dxa" w:w="2280"/>
            <w:shd w:fill="1A56DB" w:color="auto" w:val="clear"/>
          </w:tcPr>
          <w:p>
            <w:r>
              <w:rPr>
                <w:b/>
                <w:color w:val="FFFFFF"/>
                <w:sz w:val="19"/>
              </w:rPr>
              <w:t>类别</w:t>
            </w:r>
          </w:p>
        </w:tc>
        <w:tc>
          <w:tcPr>
            <w:tcW w:type="dxa" w:w="2280"/>
            <w:shd w:fill="1A56DB" w:color="auto" w:val="clear"/>
          </w:tcPr>
          <w:p>
            <w:r>
              <w:rPr>
                <w:b/>
                <w:color w:val="FFFFFF"/>
                <w:sz w:val="19"/>
              </w:rPr>
              <w:t>交付物名称</w:t>
            </w:r>
          </w:p>
        </w:tc>
        <w:tc>
          <w:tcPr>
            <w:tcW w:type="dxa" w:w="2280"/>
            <w:shd w:fill="1A56DB" w:color="auto" w:val="clear"/>
          </w:tcPr>
          <w:p>
            <w:r>
              <w:rPr>
                <w:b/>
                <w:color w:val="FFFFFF"/>
                <w:sz w:val="19"/>
              </w:rPr>
              <w:t>数量</w:t>
            </w:r>
          </w:p>
        </w:tc>
        <w:tc>
          <w:tcPr>
            <w:tcW w:type="dxa" w:w="2280"/>
            <w:shd w:fill="1A56DB" w:color="auto" w:val="clear"/>
          </w:tcPr>
          <w:p>
            <w:r>
              <w:rPr>
                <w:b/>
                <w:color w:val="FFFFFF"/>
                <w:sz w:val="19"/>
              </w:rPr>
              <w:t>格式</w:t>
            </w:r>
          </w:p>
        </w:tc>
      </w:tr>
      <w:tr>
        <w:tc>
          <w:tcPr>
            <w:tcW w:type="dxa" w:w="2280"/>
          </w:tcPr>
          <w:p>
            <w:r>
              <w:rPr>
                <w:color w:val="46556E"/>
                <w:sz w:val="19"/>
              </w:rPr>
              <w:t>软件系统</w:t>
            </w:r>
          </w:p>
        </w:tc>
        <w:tc>
          <w:tcPr>
            <w:tcW w:type="dxa" w:w="2280"/>
          </w:tcPr>
          <w:p>
            <w:r>
              <w:rPr>
                <w:color w:val="46556E"/>
                <w:sz w:val="19"/>
              </w:rPr>
              <w:t>陶行知RAG开发管理平台</w:t>
            </w:r>
          </w:p>
        </w:tc>
        <w:tc>
          <w:tcPr>
            <w:tcW w:type="dxa" w:w="2280"/>
          </w:tcPr>
          <w:p>
            <w:r>
              <w:rPr>
                <w:color w:val="46556E"/>
                <w:sz w:val="19"/>
              </w:rPr>
              <w:t>1套</w:t>
            </w:r>
          </w:p>
        </w:tc>
        <w:tc>
          <w:tcPr>
            <w:tcW w:type="dxa" w:w="2280"/>
          </w:tcPr>
          <w:p>
            <w:r>
              <w:rPr>
                <w:color w:val="46556E"/>
                <w:sz w:val="19"/>
              </w:rPr>
              <w:t>可执行程序+源码</w:t>
            </w:r>
          </w:p>
        </w:tc>
      </w:tr>
      <w:tr>
        <w:tc>
          <w:tcPr>
            <w:tcW w:type="dxa" w:w="2280"/>
          </w:tcPr>
          <w:p>
            <w:r>
              <w:rPr>
                <w:color w:val="46556E"/>
                <w:sz w:val="19"/>
              </w:rPr>
              <w:t>软件系统</w:t>
            </w:r>
          </w:p>
        </w:tc>
        <w:tc>
          <w:tcPr>
            <w:tcW w:type="dxa" w:w="2280"/>
          </w:tcPr>
          <w:p>
            <w:r>
              <w:rPr>
                <w:color w:val="46556E"/>
                <w:sz w:val="19"/>
              </w:rPr>
              <w:t>数据库及中间件</w:t>
            </w:r>
          </w:p>
        </w:tc>
        <w:tc>
          <w:tcPr>
            <w:tcW w:type="dxa" w:w="2280"/>
          </w:tcPr>
          <w:p>
            <w:r>
              <w:rPr>
                <w:color w:val="46556E"/>
                <w:sz w:val="19"/>
              </w:rPr>
              <w:t>1套</w:t>
            </w:r>
          </w:p>
        </w:tc>
        <w:tc>
          <w:tcPr>
            <w:tcW w:type="dxa" w:w="2280"/>
          </w:tcPr>
          <w:p>
            <w:r>
              <w:rPr>
                <w:color w:val="46556E"/>
                <w:sz w:val="19"/>
              </w:rPr>
              <w:t>安装包</w:t>
            </w:r>
          </w:p>
        </w:tc>
      </w:tr>
      <w:tr>
        <w:tc>
          <w:tcPr>
            <w:tcW w:type="dxa" w:w="2280"/>
          </w:tcPr>
          <w:p>
            <w:r>
              <w:rPr>
                <w:color w:val="46556E"/>
                <w:sz w:val="19"/>
              </w:rPr>
              <w:t>文档</w:t>
            </w:r>
          </w:p>
        </w:tc>
        <w:tc>
          <w:tcPr>
            <w:tcW w:type="dxa" w:w="2280"/>
          </w:tcPr>
          <w:p>
            <w:r>
              <w:rPr>
                <w:color w:val="46556E"/>
                <w:sz w:val="19"/>
              </w:rPr>
              <w:t>需求规格说明书</w:t>
            </w:r>
          </w:p>
        </w:tc>
        <w:tc>
          <w:tcPr>
            <w:tcW w:type="dxa" w:w="2280"/>
          </w:tcPr>
          <w:p>
            <w:r>
              <w:rPr>
                <w:color w:val="46556E"/>
                <w:sz w:val="19"/>
              </w:rPr>
              <w:t>1份</w:t>
            </w:r>
          </w:p>
        </w:tc>
        <w:tc>
          <w:tcPr>
            <w:tcW w:type="dxa" w:w="2280"/>
          </w:tcPr>
          <w:p>
            <w:r>
              <w:rPr>
                <w:color w:val="46556E"/>
                <w:sz w:val="19"/>
              </w:rPr>
              <w:t>Word/PDF</w:t>
            </w:r>
          </w:p>
        </w:tc>
      </w:tr>
      <w:tr>
        <w:tc>
          <w:tcPr>
            <w:tcW w:type="dxa" w:w="2280"/>
          </w:tcPr>
          <w:p>
            <w:r>
              <w:rPr>
                <w:color w:val="46556E"/>
                <w:sz w:val="19"/>
              </w:rPr>
              <w:t>文档</w:t>
            </w:r>
          </w:p>
        </w:tc>
        <w:tc>
          <w:tcPr>
            <w:tcW w:type="dxa" w:w="2280"/>
          </w:tcPr>
          <w:p>
            <w:r>
              <w:rPr>
                <w:color w:val="46556E"/>
                <w:sz w:val="19"/>
              </w:rPr>
              <w:t>系统设计说明书</w:t>
            </w:r>
          </w:p>
        </w:tc>
        <w:tc>
          <w:tcPr>
            <w:tcW w:type="dxa" w:w="2280"/>
          </w:tcPr>
          <w:p>
            <w:r>
              <w:rPr>
                <w:color w:val="46556E"/>
                <w:sz w:val="19"/>
              </w:rPr>
              <w:t>1份</w:t>
            </w:r>
          </w:p>
        </w:tc>
        <w:tc>
          <w:tcPr>
            <w:tcW w:type="dxa" w:w="2280"/>
          </w:tcPr>
          <w:p>
            <w:r>
              <w:rPr>
                <w:color w:val="46556E"/>
                <w:sz w:val="19"/>
              </w:rPr>
              <w:t>Word/PDF</w:t>
            </w:r>
          </w:p>
        </w:tc>
      </w:tr>
      <w:tr>
        <w:tc>
          <w:tcPr>
            <w:tcW w:type="dxa" w:w="2280"/>
          </w:tcPr>
          <w:p>
            <w:r>
              <w:rPr>
                <w:color w:val="46556E"/>
                <w:sz w:val="19"/>
              </w:rPr>
              <w:t>文档</w:t>
            </w:r>
          </w:p>
        </w:tc>
        <w:tc>
          <w:tcPr>
            <w:tcW w:type="dxa" w:w="2280"/>
          </w:tcPr>
          <w:p>
            <w:r>
              <w:rPr>
                <w:color w:val="46556E"/>
                <w:sz w:val="19"/>
              </w:rPr>
              <w:t>测试报告</w:t>
            </w:r>
          </w:p>
        </w:tc>
        <w:tc>
          <w:tcPr>
            <w:tcW w:type="dxa" w:w="2280"/>
          </w:tcPr>
          <w:p>
            <w:r>
              <w:rPr>
                <w:color w:val="46556E"/>
                <w:sz w:val="19"/>
              </w:rPr>
              <w:t>1份</w:t>
            </w:r>
          </w:p>
        </w:tc>
        <w:tc>
          <w:tcPr>
            <w:tcW w:type="dxa" w:w="2280"/>
          </w:tcPr>
          <w:p>
            <w:r>
              <w:rPr>
                <w:color w:val="46556E"/>
                <w:sz w:val="19"/>
              </w:rPr>
              <w:t>Word/PDF</w:t>
            </w:r>
          </w:p>
        </w:tc>
      </w:tr>
      <w:tr>
        <w:tc>
          <w:tcPr>
            <w:tcW w:type="dxa" w:w="2280"/>
          </w:tcPr>
          <w:p>
            <w:r>
              <w:rPr>
                <w:color w:val="46556E"/>
                <w:sz w:val="19"/>
              </w:rPr>
              <w:t>文档</w:t>
            </w:r>
          </w:p>
        </w:tc>
        <w:tc>
          <w:tcPr>
            <w:tcW w:type="dxa" w:w="2280"/>
          </w:tcPr>
          <w:p>
            <w:r>
              <w:rPr>
                <w:color w:val="46556E"/>
                <w:sz w:val="19"/>
              </w:rPr>
              <w:t>用户操作手册</w:t>
            </w:r>
          </w:p>
        </w:tc>
        <w:tc>
          <w:tcPr>
            <w:tcW w:type="dxa" w:w="2280"/>
          </w:tcPr>
          <w:p>
            <w:r>
              <w:rPr>
                <w:color w:val="46556E"/>
                <w:sz w:val="19"/>
              </w:rPr>
              <w:t>1份</w:t>
            </w:r>
          </w:p>
        </w:tc>
        <w:tc>
          <w:tcPr>
            <w:tcW w:type="dxa" w:w="2280"/>
          </w:tcPr>
          <w:p>
            <w:r>
              <w:rPr>
                <w:color w:val="46556E"/>
                <w:sz w:val="19"/>
              </w:rPr>
              <w:t>Word/PDF</w:t>
            </w:r>
          </w:p>
        </w:tc>
      </w:tr>
      <w:tr>
        <w:tc>
          <w:tcPr>
            <w:tcW w:type="dxa" w:w="2280"/>
          </w:tcPr>
          <w:p>
            <w:r>
              <w:rPr>
                <w:color w:val="46556E"/>
                <w:sz w:val="19"/>
              </w:rPr>
              <w:t>文档</w:t>
            </w:r>
          </w:p>
        </w:tc>
        <w:tc>
          <w:tcPr>
            <w:tcW w:type="dxa" w:w="2280"/>
          </w:tcPr>
          <w:p>
            <w:r>
              <w:rPr>
                <w:color w:val="46556E"/>
                <w:sz w:val="19"/>
              </w:rPr>
              <w:t>管理员手册</w:t>
            </w:r>
          </w:p>
        </w:tc>
        <w:tc>
          <w:tcPr>
            <w:tcW w:type="dxa" w:w="2280"/>
          </w:tcPr>
          <w:p>
            <w:r>
              <w:rPr>
                <w:color w:val="46556E"/>
                <w:sz w:val="19"/>
              </w:rPr>
              <w:t>1份</w:t>
            </w:r>
          </w:p>
        </w:tc>
        <w:tc>
          <w:tcPr>
            <w:tcW w:type="dxa" w:w="2280"/>
          </w:tcPr>
          <w:p>
            <w:r>
              <w:rPr>
                <w:color w:val="46556E"/>
                <w:sz w:val="19"/>
              </w:rPr>
              <w:t>Word/PDF</w:t>
            </w:r>
          </w:p>
        </w:tc>
      </w:tr>
      <w:tr>
        <w:tc>
          <w:tcPr>
            <w:tcW w:type="dxa" w:w="2280"/>
          </w:tcPr>
          <w:p>
            <w:r>
              <w:rPr>
                <w:color w:val="46556E"/>
                <w:sz w:val="19"/>
              </w:rPr>
              <w:t>数据</w:t>
            </w:r>
          </w:p>
        </w:tc>
        <w:tc>
          <w:tcPr>
            <w:tcW w:type="dxa" w:w="2280"/>
          </w:tcPr>
          <w:p>
            <w:r>
              <w:rPr>
                <w:color w:val="46556E"/>
                <w:sz w:val="19"/>
              </w:rPr>
              <w:t>陶行知文献知识库</w:t>
            </w:r>
          </w:p>
        </w:tc>
        <w:tc>
          <w:tcPr>
            <w:tcW w:type="dxa" w:w="2280"/>
          </w:tcPr>
          <w:p>
            <w:r>
              <w:rPr>
                <w:color w:val="46556E"/>
                <w:sz w:val="19"/>
              </w:rPr>
              <w:t>≥150篇</w:t>
            </w:r>
          </w:p>
        </w:tc>
        <w:tc>
          <w:tcPr>
            <w:tcW w:type="dxa" w:w="2280"/>
          </w:tcPr>
          <w:p>
            <w:r>
              <w:rPr>
                <w:color w:val="46556E"/>
                <w:sz w:val="19"/>
              </w:rPr>
              <w:t>原始文件+索引</w:t>
            </w:r>
          </w:p>
        </w:tc>
      </w:tr>
      <w:tr>
        <w:tc>
          <w:tcPr>
            <w:tcW w:type="dxa" w:w="2280"/>
          </w:tcPr>
          <w:p>
            <w:r>
              <w:rPr>
                <w:color w:val="46556E"/>
                <w:sz w:val="19"/>
              </w:rPr>
              <w:t>数据</w:t>
            </w:r>
          </w:p>
        </w:tc>
        <w:tc>
          <w:tcPr>
            <w:tcW w:type="dxa" w:w="2280"/>
          </w:tcPr>
          <w:p>
            <w:r>
              <w:rPr>
                <w:color w:val="46556E"/>
                <w:sz w:val="19"/>
              </w:rPr>
              <w:t>Embedding模型文件</w:t>
            </w:r>
          </w:p>
        </w:tc>
        <w:tc>
          <w:tcPr>
            <w:tcW w:type="dxa" w:w="2280"/>
          </w:tcPr>
          <w:p>
            <w:r>
              <w:rPr>
                <w:color w:val="46556E"/>
                <w:sz w:val="19"/>
              </w:rPr>
              <w:t>1套</w:t>
            </w:r>
          </w:p>
        </w:tc>
        <w:tc>
          <w:tcPr>
            <w:tcW w:type="dxa" w:w="2280"/>
          </w:tcPr>
          <w:p>
            <w:r>
              <w:rPr>
                <w:color w:val="46556E"/>
                <w:sz w:val="19"/>
              </w:rPr>
              <w:t>模型文件</w:t>
            </w:r>
          </w:p>
        </w:tc>
      </w:tr>
      <w:tr>
        <w:tc>
          <w:tcPr>
            <w:tcW w:type="dxa" w:w="2280"/>
          </w:tcPr>
          <w:p>
            <w:r>
              <w:rPr>
                <w:color w:val="46556E"/>
                <w:sz w:val="19"/>
              </w:rPr>
              <w:t>服务</w:t>
            </w:r>
          </w:p>
        </w:tc>
        <w:tc>
          <w:tcPr>
            <w:tcW w:type="dxa" w:w="2280"/>
          </w:tcPr>
          <w:p>
            <w:r>
              <w:rPr>
                <w:color w:val="46556E"/>
                <w:sz w:val="19"/>
              </w:rPr>
              <w:t>培训服务</w:t>
            </w:r>
          </w:p>
        </w:tc>
        <w:tc>
          <w:tcPr>
            <w:tcW w:type="dxa" w:w="2280"/>
          </w:tcPr>
          <w:p>
            <w:r>
              <w:rPr>
                <w:color w:val="46556E"/>
                <w:sz w:val="19"/>
              </w:rPr>
              <w:t>按需</w:t>
            </w:r>
          </w:p>
        </w:tc>
        <w:tc>
          <w:tcPr>
            <w:tcW w:type="dxa" w:w="2280"/>
          </w:tcPr>
          <w:p>
            <w:r>
              <w:rPr>
                <w:color w:val="46556E"/>
                <w:sz w:val="19"/>
              </w:rPr>
              <w:t>现场+线上</w:t>
            </w:r>
          </w:p>
        </w:tc>
      </w:tr>
      <w:tr>
        <w:tc>
          <w:tcPr>
            <w:tcW w:type="dxa" w:w="2280"/>
          </w:tcPr>
          <w:p>
            <w:r>
              <w:rPr>
                <w:color w:val="46556E"/>
                <w:sz w:val="19"/>
              </w:rPr>
              <w:t>服务</w:t>
            </w:r>
          </w:p>
        </w:tc>
        <w:tc>
          <w:tcPr>
            <w:tcW w:type="dxa" w:w="2280"/>
          </w:tcPr>
          <w:p>
            <w:r>
              <w:rPr>
                <w:color w:val="46556E"/>
                <w:sz w:val="19"/>
              </w:rPr>
              <w:t>三年质保服务</w:t>
            </w:r>
          </w:p>
        </w:tc>
        <w:tc>
          <w:tcPr>
            <w:tcW w:type="dxa" w:w="2280"/>
          </w:tcPr>
          <w:p>
            <w:r>
              <w:rPr>
                <w:color w:val="46556E"/>
                <w:sz w:val="19"/>
              </w:rPr>
              <w:t>3年</w:t>
            </w:r>
          </w:p>
        </w:tc>
        <w:tc>
          <w:tcPr>
            <w:tcW w:type="dxa" w:w="2280"/>
          </w:tcPr>
          <w:p>
            <w:r>
              <w:rPr>
                <w:color w:val="46556E"/>
                <w:sz w:val="19"/>
              </w:rPr>
              <w:t>7×24响应</w:t>
            </w:r>
          </w:p>
        </w:tc>
      </w:tr>
    </w:tbl>
    <w:p/>
    <w:p>
      <w:pPr>
        <w:pStyle w:val="Heading2"/>
        <w:jc w:val="left"/>
      </w:pPr>
      <w:r>
        <w:rPr>
          <w:b/>
          <w:color w:val="175E51"/>
          <w:sz w:val="30"/>
        </w:rPr>
        <w:t>6.2 交付物清单</w:t>
      </w:r>
    </w:p>
    <w:p>
      <w:pPr>
        <w:pStyle w:val="Heading3"/>
        <w:jc w:val="left"/>
      </w:pPr>
      <w:r>
        <w:rPr>
          <w:b/>
          <w:color w:val="6B46D1"/>
          <w:sz w:val="26"/>
        </w:rPr>
        <w:t>6.2.1 软件系统交付物</w:t>
      </w:r>
    </w:p>
    <w:p>
      <w:pPr>
        <w:pStyle w:val="Heading3"/>
        <w:jc w:val="left"/>
      </w:pPr>
      <w:r>
        <w:rPr>
          <w:b/>
          <w:color w:val="6B46D1"/>
          <w:sz w:val="26"/>
        </w:rPr>
        <w:t>6.2.2 文档交付物</w:t>
      </w:r>
    </w:p>
    <w:p>
      <w:pPr>
        <w:pStyle w:val="Heading3"/>
        <w:jc w:val="left"/>
      </w:pPr>
      <w:r>
        <w:rPr>
          <w:b/>
          <w:color w:val="6B46D1"/>
          <w:sz w:val="26"/>
        </w:rPr>
        <w:t>6.2.3 数据交付物</w:t>
      </w:r>
    </w:p>
    <w:p>
      <w:pPr>
        <w:pStyle w:val="Heading3"/>
        <w:jc w:val="left"/>
      </w:pPr>
      <w:r>
        <w:rPr>
          <w:b/>
          <w:color w:val="6B46D1"/>
          <w:sz w:val="26"/>
        </w:rPr>
        <w:t>6.2.4 服务交付物</w:t>
      </w:r>
    </w:p>
    <w:p>
      <w:pPr>
        <w:pStyle w:val="Heading2"/>
        <w:jc w:val="left"/>
      </w:pPr>
      <w:r>
        <w:rPr>
          <w:b/>
          <w:color w:val="175E51"/>
          <w:sz w:val="30"/>
        </w:rPr>
        <w:t>6.3 售后服务承诺</w:t>
      </w:r>
    </w:p>
    <w:p>
      <w:pPr>
        <w:pStyle w:val="Heading3"/>
        <w:jc w:val="left"/>
      </w:pPr>
      <w:r>
        <w:rPr>
          <w:b/>
          <w:color w:val="6B46D1"/>
          <w:sz w:val="26"/>
        </w:rPr>
        <w:t>6.3.1 质保期服务承诺</w:t>
      </w:r>
    </w:p>
    <w:p>
      <w:pPr>
        <w:pStyle w:val="Heading3"/>
        <w:jc w:val="left"/>
      </w:pPr>
      <w:r>
        <w:rPr>
          <w:b/>
          <w:color w:val="6B46D1"/>
          <w:sz w:val="26"/>
        </w:rPr>
        <w:t>6.3.2 质保期后服务承诺</w:t>
      </w:r>
    </w:p>
    <w:p>
      <w:pPr>
        <w:pStyle w:val="Heading3"/>
        <w:jc w:val="left"/>
      </w:pPr>
      <w:r>
        <w:rPr>
          <w:b/>
          <w:color w:val="6B46D1"/>
          <w:sz w:val="26"/>
        </w:rPr>
        <w:t>6.3.3 服务质量保障措施</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 Id="rId19"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