
<file path=[Content_Types].xml><?xml version="1.0" encoding="utf-8"?>
<Types xmlns="http://schemas.openxmlformats.org/package/2006/content-types">
  <Default Extension="xml" ContentType="application/xml"/>
  <Default Extension="xlsx" ContentType="application/vnd.openxmlformats-officedocument.spreadsheetml.sheet"/>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olors1.xml" ContentType="application/vnd.ms-office.chartcolorstyle+xml"/>
  <Override PartName="/word/charts/style1.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theme/themeOverride1.xml" ContentType="application/vnd.openxmlformats-officedocument.themeOverrid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97BA53D">
      <w:pPr>
        <w:pStyle w:val="6"/>
        <w:tabs>
          <w:tab w:val="right" w:leader="dot" w:pos="8296"/>
        </w:tabs>
        <w:spacing w:line="360" w:lineRule="auto"/>
        <w:jc w:val="center"/>
        <w:rPr>
          <w:sz w:val="32"/>
          <w:szCs w:val="32"/>
        </w:rPr>
      </w:pPr>
    </w:p>
    <w:p w14:paraId="277EF49F">
      <w:pPr>
        <w:pStyle w:val="6"/>
        <w:tabs>
          <w:tab w:val="right" w:leader="dot" w:pos="8296"/>
        </w:tabs>
        <w:spacing w:line="360" w:lineRule="auto"/>
        <w:jc w:val="center"/>
        <w:rPr>
          <w:sz w:val="32"/>
          <w:szCs w:val="32"/>
        </w:rPr>
      </w:pPr>
    </w:p>
    <w:p w14:paraId="4C7B3AF9">
      <w:pPr>
        <w:pStyle w:val="6"/>
        <w:tabs>
          <w:tab w:val="right" w:leader="dot" w:pos="8296"/>
        </w:tabs>
        <w:spacing w:line="360" w:lineRule="auto"/>
        <w:jc w:val="left"/>
        <w:rPr>
          <w:sz w:val="44"/>
          <w:szCs w:val="44"/>
        </w:rPr>
      </w:pPr>
    </w:p>
    <w:p w14:paraId="2E9239AD"/>
    <w:p w14:paraId="3ABB65CF"/>
    <w:p w14:paraId="423D865F">
      <w:pPr>
        <w:jc w:val="left"/>
        <w:rPr>
          <w:b/>
          <w:bCs/>
          <w:sz w:val="32"/>
          <w:szCs w:val="32"/>
        </w:rPr>
      </w:pPr>
      <w:r>
        <w:rPr>
          <w:rFonts w:hint="eastAsia"/>
          <w:b/>
          <w:bCs/>
          <w:sz w:val="32"/>
          <w:szCs w:val="32"/>
        </w:rPr>
        <w:t>项目编号：</w:t>
      </w:r>
      <w:r>
        <w:rPr>
          <w:b/>
          <w:bCs/>
          <w:sz w:val="32"/>
          <w:szCs w:val="32"/>
        </w:rPr>
        <w:t>JSZC-320400-JZCG-G2026-0016</w:t>
      </w:r>
    </w:p>
    <w:p w14:paraId="4D58D1FD">
      <w:pPr>
        <w:pStyle w:val="6"/>
        <w:tabs>
          <w:tab w:val="right" w:leader="dot" w:pos="8296"/>
        </w:tabs>
        <w:spacing w:line="360" w:lineRule="auto"/>
        <w:jc w:val="left"/>
        <w:rPr>
          <w:b/>
          <w:bCs/>
          <w:sz w:val="44"/>
          <w:szCs w:val="44"/>
        </w:rPr>
      </w:pPr>
    </w:p>
    <w:p w14:paraId="637CAAD4">
      <w:pPr>
        <w:pStyle w:val="6"/>
        <w:tabs>
          <w:tab w:val="right" w:leader="dot" w:pos="8296"/>
        </w:tabs>
        <w:spacing w:line="360" w:lineRule="auto"/>
        <w:jc w:val="center"/>
        <w:rPr>
          <w:b/>
          <w:bCs/>
          <w:sz w:val="44"/>
          <w:szCs w:val="44"/>
        </w:rPr>
      </w:pPr>
      <w:r>
        <w:rPr>
          <w:rFonts w:hint="eastAsia"/>
          <w:b/>
          <w:bCs/>
          <w:sz w:val="44"/>
          <w:szCs w:val="44"/>
        </w:rPr>
        <w:t>常州工程职业技术学院AI数智集成与开发管理平台</w:t>
      </w:r>
    </w:p>
    <w:p w14:paraId="40B271A4">
      <w:pPr>
        <w:jc w:val="left"/>
        <w:rPr>
          <w:b/>
          <w:bCs/>
          <w:sz w:val="44"/>
          <w:szCs w:val="44"/>
        </w:rPr>
      </w:pPr>
    </w:p>
    <w:p w14:paraId="18BE6644">
      <w:pPr>
        <w:jc w:val="left"/>
        <w:rPr>
          <w:b/>
          <w:bCs/>
          <w:sz w:val="44"/>
          <w:szCs w:val="44"/>
        </w:rPr>
      </w:pPr>
    </w:p>
    <w:p w14:paraId="5B65EF55">
      <w:pPr>
        <w:jc w:val="left"/>
        <w:rPr>
          <w:b/>
          <w:bCs/>
          <w:sz w:val="44"/>
          <w:szCs w:val="44"/>
        </w:rPr>
      </w:pPr>
    </w:p>
    <w:p w14:paraId="709B654B">
      <w:pPr>
        <w:jc w:val="left"/>
        <w:rPr>
          <w:b/>
          <w:bCs/>
          <w:sz w:val="44"/>
          <w:szCs w:val="44"/>
        </w:rPr>
      </w:pPr>
    </w:p>
    <w:p w14:paraId="1489F126">
      <w:pPr>
        <w:jc w:val="center"/>
        <w:rPr>
          <w:b/>
          <w:bCs/>
          <w:sz w:val="44"/>
          <w:szCs w:val="44"/>
        </w:rPr>
      </w:pPr>
      <w:r>
        <w:rPr>
          <w:rFonts w:hint="eastAsia"/>
          <w:b/>
          <w:bCs/>
          <w:sz w:val="44"/>
          <w:szCs w:val="44"/>
        </w:rPr>
        <w:t>技术文件</w:t>
      </w:r>
    </w:p>
    <w:p w14:paraId="0AF4FEDF"/>
    <w:p w14:paraId="73E27019"/>
    <w:p w14:paraId="50F36D09"/>
    <w:p w14:paraId="25AAD926"/>
    <w:p w14:paraId="26594958"/>
    <w:p w14:paraId="4A5F73D5"/>
    <w:p w14:paraId="4AEB9B6E"/>
    <w:p w14:paraId="4BB697C3"/>
    <w:p w14:paraId="36E8F4A6"/>
    <w:p w14:paraId="21FE51DC"/>
    <w:p w14:paraId="34971853"/>
    <w:p w14:paraId="238CF2DC"/>
    <w:p w14:paraId="714D9911"/>
    <w:p w14:paraId="48F61564"/>
    <w:p w14:paraId="239F6CAE"/>
    <w:p w14:paraId="36191066"/>
    <w:p w14:paraId="7A96F3F1"/>
    <w:p w14:paraId="0C194B0E"/>
    <w:p w14:paraId="41611E25">
      <w:pPr>
        <w:jc w:val="center"/>
        <w:rPr>
          <w:b/>
          <w:bCs/>
          <w:sz w:val="28"/>
          <w:szCs w:val="28"/>
        </w:rPr>
      </w:pPr>
      <w:r>
        <w:rPr>
          <w:rFonts w:hint="eastAsia"/>
          <w:b/>
          <w:bCs/>
          <w:sz w:val="28"/>
          <w:szCs w:val="28"/>
        </w:rPr>
        <w:t>目  录</w:t>
      </w:r>
    </w:p>
    <w:p w14:paraId="45CE44E9">
      <w:pPr>
        <w:pStyle w:val="6"/>
        <w:tabs>
          <w:tab w:val="right" w:leader="dot" w:pos="8296"/>
        </w:tabs>
        <w:spacing w:line="360" w:lineRule="auto"/>
        <w:rPr>
          <w:sz w:val="22"/>
          <w14:ligatures w14:val="standardContextual"/>
        </w:rPr>
      </w:pPr>
      <w:r>
        <w:rPr>
          <w:sz w:val="32"/>
          <w:szCs w:val="32"/>
        </w:rPr>
        <w:fldChar w:fldCharType="begin"/>
      </w:r>
      <w:r>
        <w:rPr>
          <w:sz w:val="32"/>
          <w:szCs w:val="32"/>
        </w:rPr>
        <w:instrText xml:space="preserve">TOC \o "1-4" \h \u </w:instrText>
      </w:r>
      <w:r>
        <w:rPr>
          <w:sz w:val="32"/>
          <w:szCs w:val="32"/>
        </w:rPr>
        <w:fldChar w:fldCharType="separate"/>
      </w:r>
      <w:r>
        <w:fldChar w:fldCharType="begin"/>
      </w:r>
      <w:r>
        <w:instrText xml:space="preserve"> HYPERLINK \l "_Toc221113225" </w:instrText>
      </w:r>
      <w:r>
        <w:fldChar w:fldCharType="separate"/>
      </w:r>
      <w:r>
        <w:rPr>
          <w:rStyle w:val="12"/>
          <w:rFonts w:hint="eastAsia"/>
        </w:rPr>
        <w:t>1. 项目需求与服务内容的阐述与分析</w:t>
      </w:r>
      <w:r>
        <w:rPr>
          <w:rFonts w:hint="eastAsia"/>
        </w:rPr>
        <w:tab/>
      </w:r>
      <w:r>
        <w:rPr>
          <w:rFonts w:hint="eastAsia"/>
        </w:rPr>
        <w:fldChar w:fldCharType="begin"/>
      </w:r>
      <w:r>
        <w:rPr>
          <w:rFonts w:hint="eastAsia"/>
        </w:rPr>
        <w:instrText xml:space="preserve"> </w:instrText>
      </w:r>
      <w:r>
        <w:instrText xml:space="preserve">PAGEREF _Toc221113225 \h</w:instrText>
      </w:r>
      <w:r>
        <w:rPr>
          <w:rFonts w:hint="eastAsia"/>
        </w:rPr>
        <w:instrText xml:space="preserve"> </w:instrText>
      </w:r>
      <w:r>
        <w:rPr>
          <w:rFonts w:hint="eastAsia"/>
        </w:rPr>
        <w:fldChar w:fldCharType="separate"/>
      </w:r>
      <w:r>
        <w:t>5</w:t>
      </w:r>
      <w:r>
        <w:rPr>
          <w:rFonts w:hint="eastAsia"/>
        </w:rPr>
        <w:fldChar w:fldCharType="end"/>
      </w:r>
      <w:r>
        <w:rPr>
          <w:rFonts w:hint="eastAsia"/>
        </w:rPr>
        <w:fldChar w:fldCharType="end"/>
      </w:r>
    </w:p>
    <w:p w14:paraId="153685D3">
      <w:pPr>
        <w:pStyle w:val="8"/>
        <w:tabs>
          <w:tab w:val="right" w:leader="dot" w:pos="8296"/>
        </w:tabs>
        <w:spacing w:line="360" w:lineRule="auto"/>
        <w:rPr>
          <w:sz w:val="22"/>
          <w14:ligatures w14:val="standardContextual"/>
        </w:rPr>
      </w:pPr>
      <w:r>
        <w:fldChar w:fldCharType="begin"/>
      </w:r>
      <w:r>
        <w:instrText xml:space="preserve"> HYPERLINK \l "_Toc221113226" </w:instrText>
      </w:r>
      <w:r>
        <w:fldChar w:fldCharType="separate"/>
      </w:r>
      <w:r>
        <w:rPr>
          <w:rStyle w:val="12"/>
          <w:rFonts w:hint="eastAsia"/>
        </w:rPr>
        <w:t>1.1. 项目宏观背景与核心目标理解</w:t>
      </w:r>
      <w:r>
        <w:rPr>
          <w:rFonts w:hint="eastAsia"/>
        </w:rPr>
        <w:tab/>
      </w:r>
      <w:r>
        <w:rPr>
          <w:rFonts w:hint="eastAsia"/>
        </w:rPr>
        <w:fldChar w:fldCharType="begin"/>
      </w:r>
      <w:r>
        <w:rPr>
          <w:rFonts w:hint="eastAsia"/>
        </w:rPr>
        <w:instrText xml:space="preserve"> </w:instrText>
      </w:r>
      <w:r>
        <w:instrText xml:space="preserve">PAGEREF _Toc221113226 \h</w:instrText>
      </w:r>
      <w:r>
        <w:rPr>
          <w:rFonts w:hint="eastAsia"/>
        </w:rPr>
        <w:instrText xml:space="preserve"> </w:instrText>
      </w:r>
      <w:r>
        <w:rPr>
          <w:rFonts w:hint="eastAsia"/>
        </w:rPr>
        <w:fldChar w:fldCharType="separate"/>
      </w:r>
      <w:r>
        <w:t>5</w:t>
      </w:r>
      <w:r>
        <w:rPr>
          <w:rFonts w:hint="eastAsia"/>
        </w:rPr>
        <w:fldChar w:fldCharType="end"/>
      </w:r>
      <w:r>
        <w:rPr>
          <w:rFonts w:hint="eastAsia"/>
        </w:rPr>
        <w:fldChar w:fldCharType="end"/>
      </w:r>
    </w:p>
    <w:p w14:paraId="67B8A7B2">
      <w:pPr>
        <w:pStyle w:val="3"/>
        <w:tabs>
          <w:tab w:val="right" w:leader="dot" w:pos="8296"/>
        </w:tabs>
        <w:spacing w:line="360" w:lineRule="auto"/>
        <w:rPr>
          <w:sz w:val="22"/>
          <w14:ligatures w14:val="standardContextual"/>
        </w:rPr>
      </w:pPr>
      <w:r>
        <w:fldChar w:fldCharType="begin"/>
      </w:r>
      <w:r>
        <w:instrText xml:space="preserve"> HYPERLINK \l "_Toc221113227" </w:instrText>
      </w:r>
      <w:r>
        <w:fldChar w:fldCharType="separate"/>
      </w:r>
      <w:r>
        <w:rPr>
          <w:rStyle w:val="12"/>
          <w:rFonts w:hint="eastAsia"/>
        </w:rPr>
        <w:t>1.1.1. 数字中国战略下的职教AI转型浪潮</w:t>
      </w:r>
      <w:r>
        <w:rPr>
          <w:rFonts w:hint="eastAsia"/>
        </w:rPr>
        <w:tab/>
      </w:r>
      <w:r>
        <w:rPr>
          <w:rFonts w:hint="eastAsia"/>
        </w:rPr>
        <w:fldChar w:fldCharType="begin"/>
      </w:r>
      <w:r>
        <w:rPr>
          <w:rFonts w:hint="eastAsia"/>
        </w:rPr>
        <w:instrText xml:space="preserve"> </w:instrText>
      </w:r>
      <w:r>
        <w:instrText xml:space="preserve">PAGEREF _Toc221113227 \h</w:instrText>
      </w:r>
      <w:r>
        <w:rPr>
          <w:rFonts w:hint="eastAsia"/>
        </w:rPr>
        <w:instrText xml:space="preserve"> </w:instrText>
      </w:r>
      <w:r>
        <w:rPr>
          <w:rFonts w:hint="eastAsia"/>
        </w:rPr>
        <w:fldChar w:fldCharType="separate"/>
      </w:r>
      <w:r>
        <w:t>5</w:t>
      </w:r>
      <w:r>
        <w:rPr>
          <w:rFonts w:hint="eastAsia"/>
        </w:rPr>
        <w:fldChar w:fldCharType="end"/>
      </w:r>
      <w:r>
        <w:rPr>
          <w:rFonts w:hint="eastAsia"/>
        </w:rPr>
        <w:fldChar w:fldCharType="end"/>
      </w:r>
    </w:p>
    <w:p w14:paraId="320652C6">
      <w:pPr>
        <w:pStyle w:val="3"/>
        <w:tabs>
          <w:tab w:val="right" w:leader="dot" w:pos="8296"/>
        </w:tabs>
        <w:spacing w:line="360" w:lineRule="auto"/>
        <w:rPr>
          <w:sz w:val="22"/>
          <w14:ligatures w14:val="standardContextual"/>
        </w:rPr>
      </w:pPr>
      <w:r>
        <w:fldChar w:fldCharType="begin"/>
      </w:r>
      <w:r>
        <w:instrText xml:space="preserve"> HYPERLINK \l "_Toc221113228" </w:instrText>
      </w:r>
      <w:r>
        <w:fldChar w:fldCharType="separate"/>
      </w:r>
      <w:r>
        <w:rPr>
          <w:rStyle w:val="12"/>
          <w:rFonts w:hint="eastAsia"/>
        </w:rPr>
        <w:t>1.1.2. 从数据沉睡到智能涌现的迫切需求</w:t>
      </w:r>
      <w:r>
        <w:rPr>
          <w:rFonts w:hint="eastAsia"/>
        </w:rPr>
        <w:tab/>
      </w:r>
      <w:r>
        <w:rPr>
          <w:rFonts w:hint="eastAsia"/>
        </w:rPr>
        <w:fldChar w:fldCharType="begin"/>
      </w:r>
      <w:r>
        <w:rPr>
          <w:rFonts w:hint="eastAsia"/>
        </w:rPr>
        <w:instrText xml:space="preserve"> </w:instrText>
      </w:r>
      <w:r>
        <w:instrText xml:space="preserve">PAGEREF _Toc221113228 \h</w:instrText>
      </w:r>
      <w:r>
        <w:rPr>
          <w:rFonts w:hint="eastAsia"/>
        </w:rPr>
        <w:instrText xml:space="preserve"> </w:instrText>
      </w:r>
      <w:r>
        <w:rPr>
          <w:rFonts w:hint="eastAsia"/>
        </w:rPr>
        <w:fldChar w:fldCharType="separate"/>
      </w:r>
      <w:r>
        <w:t>8</w:t>
      </w:r>
      <w:r>
        <w:rPr>
          <w:rFonts w:hint="eastAsia"/>
        </w:rPr>
        <w:fldChar w:fldCharType="end"/>
      </w:r>
      <w:r>
        <w:rPr>
          <w:rFonts w:hint="eastAsia"/>
        </w:rPr>
        <w:fldChar w:fldCharType="end"/>
      </w:r>
    </w:p>
    <w:p w14:paraId="37A23A1E">
      <w:pPr>
        <w:pStyle w:val="7"/>
        <w:tabs>
          <w:tab w:val="right" w:leader="dot" w:pos="8296"/>
        </w:tabs>
        <w:spacing w:line="360" w:lineRule="auto"/>
        <w:rPr>
          <w:sz w:val="22"/>
          <w14:ligatures w14:val="standardContextual"/>
        </w:rPr>
      </w:pPr>
      <w:r>
        <w:fldChar w:fldCharType="begin"/>
      </w:r>
      <w:r>
        <w:instrText xml:space="preserve"> HYPERLINK \l "_Toc221113229" </w:instrText>
      </w:r>
      <w:r>
        <w:fldChar w:fldCharType="separate"/>
      </w:r>
      <w:r>
        <w:rPr>
          <w:rStyle w:val="12"/>
          <w:rFonts w:hint="eastAsia"/>
        </w:rPr>
        <w:t>1.1.2.1. 数据价值释放的“最后一公里”障碍</w:t>
      </w:r>
      <w:r>
        <w:rPr>
          <w:rFonts w:hint="eastAsia"/>
        </w:rPr>
        <w:tab/>
      </w:r>
      <w:r>
        <w:rPr>
          <w:rFonts w:hint="eastAsia"/>
        </w:rPr>
        <w:fldChar w:fldCharType="begin"/>
      </w:r>
      <w:r>
        <w:rPr>
          <w:rFonts w:hint="eastAsia"/>
        </w:rPr>
        <w:instrText xml:space="preserve"> </w:instrText>
      </w:r>
      <w:r>
        <w:instrText xml:space="preserve">PAGEREF _Toc221113229 \h</w:instrText>
      </w:r>
      <w:r>
        <w:rPr>
          <w:rFonts w:hint="eastAsia"/>
        </w:rPr>
        <w:instrText xml:space="preserve"> </w:instrText>
      </w:r>
      <w:r>
        <w:rPr>
          <w:rFonts w:hint="eastAsia"/>
        </w:rPr>
        <w:fldChar w:fldCharType="separate"/>
      </w:r>
      <w:r>
        <w:t>8</w:t>
      </w:r>
      <w:r>
        <w:rPr>
          <w:rFonts w:hint="eastAsia"/>
        </w:rPr>
        <w:fldChar w:fldCharType="end"/>
      </w:r>
      <w:r>
        <w:rPr>
          <w:rFonts w:hint="eastAsia"/>
        </w:rPr>
        <w:fldChar w:fldCharType="end"/>
      </w:r>
    </w:p>
    <w:p w14:paraId="659C4F9D">
      <w:pPr>
        <w:pStyle w:val="7"/>
        <w:tabs>
          <w:tab w:val="right" w:leader="dot" w:pos="8296"/>
        </w:tabs>
        <w:spacing w:line="360" w:lineRule="auto"/>
        <w:rPr>
          <w:sz w:val="22"/>
          <w14:ligatures w14:val="standardContextual"/>
        </w:rPr>
      </w:pPr>
      <w:r>
        <w:fldChar w:fldCharType="begin"/>
      </w:r>
      <w:r>
        <w:instrText xml:space="preserve"> HYPERLINK \l "_Toc221113230" </w:instrText>
      </w:r>
      <w:r>
        <w:fldChar w:fldCharType="separate"/>
      </w:r>
      <w:r>
        <w:rPr>
          <w:rStyle w:val="12"/>
          <w:rFonts w:hint="eastAsia"/>
        </w:rPr>
        <w:t>1.1.2.2. 智能化应用创新的“高门槛”困境</w:t>
      </w:r>
      <w:r>
        <w:rPr>
          <w:rFonts w:hint="eastAsia"/>
        </w:rPr>
        <w:tab/>
      </w:r>
      <w:r>
        <w:rPr>
          <w:rFonts w:hint="eastAsia"/>
        </w:rPr>
        <w:fldChar w:fldCharType="begin"/>
      </w:r>
      <w:r>
        <w:rPr>
          <w:rFonts w:hint="eastAsia"/>
        </w:rPr>
        <w:instrText xml:space="preserve"> </w:instrText>
      </w:r>
      <w:r>
        <w:instrText xml:space="preserve">PAGEREF _Toc221113230 \h</w:instrText>
      </w:r>
      <w:r>
        <w:rPr>
          <w:rFonts w:hint="eastAsia"/>
        </w:rPr>
        <w:instrText xml:space="preserve"> </w:instrText>
      </w:r>
      <w:r>
        <w:rPr>
          <w:rFonts w:hint="eastAsia"/>
        </w:rPr>
        <w:fldChar w:fldCharType="separate"/>
      </w:r>
      <w:r>
        <w:t>9</w:t>
      </w:r>
      <w:r>
        <w:rPr>
          <w:rFonts w:hint="eastAsia"/>
        </w:rPr>
        <w:fldChar w:fldCharType="end"/>
      </w:r>
      <w:r>
        <w:rPr>
          <w:rFonts w:hint="eastAsia"/>
        </w:rPr>
        <w:fldChar w:fldCharType="end"/>
      </w:r>
    </w:p>
    <w:p w14:paraId="38A71526">
      <w:pPr>
        <w:pStyle w:val="7"/>
        <w:tabs>
          <w:tab w:val="right" w:leader="dot" w:pos="8296"/>
        </w:tabs>
        <w:spacing w:line="360" w:lineRule="auto"/>
        <w:rPr>
          <w:sz w:val="22"/>
          <w14:ligatures w14:val="standardContextual"/>
        </w:rPr>
      </w:pPr>
      <w:r>
        <w:fldChar w:fldCharType="begin"/>
      </w:r>
      <w:r>
        <w:instrText xml:space="preserve"> HYPERLINK \l "_Toc221113231" </w:instrText>
      </w:r>
      <w:r>
        <w:fldChar w:fldCharType="separate"/>
      </w:r>
      <w:r>
        <w:rPr>
          <w:rStyle w:val="12"/>
          <w:rFonts w:hint="eastAsia"/>
        </w:rPr>
        <w:t>1.1.2.3. 知识资产管理的“碎片化”状态</w:t>
      </w:r>
      <w:r>
        <w:rPr>
          <w:rFonts w:hint="eastAsia"/>
        </w:rPr>
        <w:tab/>
      </w:r>
      <w:r>
        <w:rPr>
          <w:rFonts w:hint="eastAsia"/>
        </w:rPr>
        <w:fldChar w:fldCharType="begin"/>
      </w:r>
      <w:r>
        <w:rPr>
          <w:rFonts w:hint="eastAsia"/>
        </w:rPr>
        <w:instrText xml:space="preserve"> </w:instrText>
      </w:r>
      <w:r>
        <w:instrText xml:space="preserve">PAGEREF _Toc221113231 \h</w:instrText>
      </w:r>
      <w:r>
        <w:rPr>
          <w:rFonts w:hint="eastAsia"/>
        </w:rPr>
        <w:instrText xml:space="preserve"> </w:instrText>
      </w:r>
      <w:r>
        <w:rPr>
          <w:rFonts w:hint="eastAsia"/>
        </w:rPr>
        <w:fldChar w:fldCharType="separate"/>
      </w:r>
      <w:r>
        <w:t>11</w:t>
      </w:r>
      <w:r>
        <w:rPr>
          <w:rFonts w:hint="eastAsia"/>
        </w:rPr>
        <w:fldChar w:fldCharType="end"/>
      </w:r>
      <w:r>
        <w:rPr>
          <w:rFonts w:hint="eastAsia"/>
        </w:rPr>
        <w:fldChar w:fldCharType="end"/>
      </w:r>
    </w:p>
    <w:p w14:paraId="7CE327D8">
      <w:pPr>
        <w:pStyle w:val="7"/>
        <w:tabs>
          <w:tab w:val="right" w:leader="dot" w:pos="8296"/>
        </w:tabs>
        <w:spacing w:line="360" w:lineRule="auto"/>
        <w:rPr>
          <w:sz w:val="22"/>
          <w14:ligatures w14:val="standardContextual"/>
        </w:rPr>
      </w:pPr>
      <w:r>
        <w:fldChar w:fldCharType="begin"/>
      </w:r>
      <w:r>
        <w:instrText xml:space="preserve"> HYPERLINK \l "_Toc221113232" </w:instrText>
      </w:r>
      <w:r>
        <w:fldChar w:fldCharType="separate"/>
      </w:r>
      <w:r>
        <w:rPr>
          <w:rStyle w:val="12"/>
          <w:rFonts w:hint="eastAsia"/>
        </w:rPr>
        <w:t>1.1.2.4. 技术架构的“可持续性”挑战</w:t>
      </w:r>
      <w:r>
        <w:rPr>
          <w:rFonts w:hint="eastAsia"/>
        </w:rPr>
        <w:tab/>
      </w:r>
      <w:r>
        <w:rPr>
          <w:rFonts w:hint="eastAsia"/>
        </w:rPr>
        <w:fldChar w:fldCharType="begin"/>
      </w:r>
      <w:r>
        <w:rPr>
          <w:rFonts w:hint="eastAsia"/>
        </w:rPr>
        <w:instrText xml:space="preserve"> </w:instrText>
      </w:r>
      <w:r>
        <w:instrText xml:space="preserve">PAGEREF _Toc221113232 \h</w:instrText>
      </w:r>
      <w:r>
        <w:rPr>
          <w:rFonts w:hint="eastAsia"/>
        </w:rPr>
        <w:instrText xml:space="preserve"> </w:instrText>
      </w:r>
      <w:r>
        <w:rPr>
          <w:rFonts w:hint="eastAsia"/>
        </w:rPr>
        <w:fldChar w:fldCharType="separate"/>
      </w:r>
      <w:r>
        <w:t>13</w:t>
      </w:r>
      <w:r>
        <w:rPr>
          <w:rFonts w:hint="eastAsia"/>
        </w:rPr>
        <w:fldChar w:fldCharType="end"/>
      </w:r>
      <w:r>
        <w:rPr>
          <w:rFonts w:hint="eastAsia"/>
        </w:rPr>
        <w:fldChar w:fldCharType="end"/>
      </w:r>
    </w:p>
    <w:p w14:paraId="317C8FE4">
      <w:pPr>
        <w:pStyle w:val="3"/>
        <w:tabs>
          <w:tab w:val="right" w:leader="dot" w:pos="8296"/>
        </w:tabs>
        <w:spacing w:line="360" w:lineRule="auto"/>
        <w:rPr>
          <w:sz w:val="22"/>
          <w14:ligatures w14:val="standardContextual"/>
        </w:rPr>
      </w:pPr>
      <w:r>
        <w:fldChar w:fldCharType="begin"/>
      </w:r>
      <w:r>
        <w:instrText xml:space="preserve"> HYPERLINK \l "_Toc221113233" </w:instrText>
      </w:r>
      <w:r>
        <w:fldChar w:fldCharType="separate"/>
      </w:r>
      <w:r>
        <w:rPr>
          <w:rStyle w:val="12"/>
          <w:rFonts w:hint="eastAsia"/>
        </w:rPr>
        <w:t>1.1.3. 核心目标：打造三位一体的AI数智中枢</w:t>
      </w:r>
      <w:r>
        <w:rPr>
          <w:rFonts w:hint="eastAsia"/>
        </w:rPr>
        <w:tab/>
      </w:r>
      <w:r>
        <w:rPr>
          <w:rFonts w:hint="eastAsia"/>
        </w:rPr>
        <w:fldChar w:fldCharType="begin"/>
      </w:r>
      <w:r>
        <w:rPr>
          <w:rFonts w:hint="eastAsia"/>
        </w:rPr>
        <w:instrText xml:space="preserve"> </w:instrText>
      </w:r>
      <w:r>
        <w:instrText xml:space="preserve">PAGEREF _Toc221113233 \h</w:instrText>
      </w:r>
      <w:r>
        <w:rPr>
          <w:rFonts w:hint="eastAsia"/>
        </w:rPr>
        <w:instrText xml:space="preserve"> </w:instrText>
      </w:r>
      <w:r>
        <w:rPr>
          <w:rFonts w:hint="eastAsia"/>
        </w:rPr>
        <w:fldChar w:fldCharType="separate"/>
      </w:r>
      <w:r>
        <w:t>14</w:t>
      </w:r>
      <w:r>
        <w:rPr>
          <w:rFonts w:hint="eastAsia"/>
        </w:rPr>
        <w:fldChar w:fldCharType="end"/>
      </w:r>
      <w:r>
        <w:rPr>
          <w:rFonts w:hint="eastAsia"/>
        </w:rPr>
        <w:fldChar w:fldCharType="end"/>
      </w:r>
    </w:p>
    <w:p w14:paraId="12A8F293">
      <w:pPr>
        <w:pStyle w:val="8"/>
        <w:tabs>
          <w:tab w:val="right" w:leader="dot" w:pos="8296"/>
        </w:tabs>
        <w:spacing w:line="360" w:lineRule="auto"/>
        <w:rPr>
          <w:sz w:val="22"/>
          <w14:ligatures w14:val="standardContextual"/>
        </w:rPr>
      </w:pPr>
      <w:r>
        <w:fldChar w:fldCharType="begin"/>
      </w:r>
      <w:r>
        <w:instrText xml:space="preserve"> HYPERLINK \l "_Toc221113234" </w:instrText>
      </w:r>
      <w:r>
        <w:fldChar w:fldCharType="separate"/>
      </w:r>
      <w:r>
        <w:rPr>
          <w:rStyle w:val="12"/>
          <w:rFonts w:hint="eastAsia"/>
        </w:rPr>
        <w:t>1.2. 平台功能需求分析与理解</w:t>
      </w:r>
      <w:r>
        <w:rPr>
          <w:rFonts w:hint="eastAsia"/>
        </w:rPr>
        <w:tab/>
      </w:r>
      <w:r>
        <w:rPr>
          <w:rFonts w:hint="eastAsia"/>
        </w:rPr>
        <w:fldChar w:fldCharType="begin"/>
      </w:r>
      <w:r>
        <w:rPr>
          <w:rFonts w:hint="eastAsia"/>
        </w:rPr>
        <w:instrText xml:space="preserve"> </w:instrText>
      </w:r>
      <w:r>
        <w:instrText xml:space="preserve">PAGEREF _Toc221113234 \h</w:instrText>
      </w:r>
      <w:r>
        <w:rPr>
          <w:rFonts w:hint="eastAsia"/>
        </w:rPr>
        <w:instrText xml:space="preserve"> </w:instrText>
      </w:r>
      <w:r>
        <w:rPr>
          <w:rFonts w:hint="eastAsia"/>
        </w:rPr>
        <w:fldChar w:fldCharType="separate"/>
      </w:r>
      <w:r>
        <w:t>16</w:t>
      </w:r>
      <w:r>
        <w:rPr>
          <w:rFonts w:hint="eastAsia"/>
        </w:rPr>
        <w:fldChar w:fldCharType="end"/>
      </w:r>
      <w:r>
        <w:rPr>
          <w:rFonts w:hint="eastAsia"/>
        </w:rPr>
        <w:fldChar w:fldCharType="end"/>
      </w:r>
    </w:p>
    <w:p w14:paraId="766EB596">
      <w:pPr>
        <w:pStyle w:val="3"/>
        <w:tabs>
          <w:tab w:val="right" w:leader="dot" w:pos="8296"/>
        </w:tabs>
        <w:spacing w:line="360" w:lineRule="auto"/>
        <w:rPr>
          <w:sz w:val="22"/>
          <w14:ligatures w14:val="standardContextual"/>
        </w:rPr>
      </w:pPr>
      <w:r>
        <w:fldChar w:fldCharType="begin"/>
      </w:r>
      <w:r>
        <w:instrText xml:space="preserve"> HYPERLINK \l "_Toc221113235" </w:instrText>
      </w:r>
      <w:r>
        <w:fldChar w:fldCharType="separate"/>
      </w:r>
      <w:r>
        <w:rPr>
          <w:rStyle w:val="12"/>
          <w:rFonts w:hint="eastAsia"/>
        </w:rPr>
        <w:t>1.2.1. 一体化数据与AI能力基座：构筑激活数据价值的"智能土壤"</w:t>
      </w:r>
      <w:r>
        <w:rPr>
          <w:rFonts w:hint="eastAsia"/>
        </w:rPr>
        <w:tab/>
      </w:r>
      <w:r>
        <w:rPr>
          <w:rFonts w:hint="eastAsia"/>
        </w:rPr>
        <w:fldChar w:fldCharType="begin"/>
      </w:r>
      <w:r>
        <w:rPr>
          <w:rFonts w:hint="eastAsia"/>
        </w:rPr>
        <w:instrText xml:space="preserve"> </w:instrText>
      </w:r>
      <w:r>
        <w:instrText xml:space="preserve">PAGEREF _Toc221113235 \h</w:instrText>
      </w:r>
      <w:r>
        <w:rPr>
          <w:rFonts w:hint="eastAsia"/>
        </w:rPr>
        <w:instrText xml:space="preserve"> </w:instrText>
      </w:r>
      <w:r>
        <w:rPr>
          <w:rFonts w:hint="eastAsia"/>
        </w:rPr>
        <w:fldChar w:fldCharType="separate"/>
      </w:r>
      <w:r>
        <w:t>17</w:t>
      </w:r>
      <w:r>
        <w:rPr>
          <w:rFonts w:hint="eastAsia"/>
        </w:rPr>
        <w:fldChar w:fldCharType="end"/>
      </w:r>
      <w:r>
        <w:rPr>
          <w:rFonts w:hint="eastAsia"/>
        </w:rPr>
        <w:fldChar w:fldCharType="end"/>
      </w:r>
    </w:p>
    <w:p w14:paraId="10392093">
      <w:pPr>
        <w:pStyle w:val="3"/>
        <w:tabs>
          <w:tab w:val="right" w:leader="dot" w:pos="8296"/>
        </w:tabs>
        <w:spacing w:line="360" w:lineRule="auto"/>
        <w:rPr>
          <w:sz w:val="22"/>
          <w14:ligatures w14:val="standardContextual"/>
        </w:rPr>
      </w:pPr>
      <w:r>
        <w:fldChar w:fldCharType="begin"/>
      </w:r>
      <w:r>
        <w:instrText xml:space="preserve"> HYPERLINK \l "_Toc221113236" </w:instrText>
      </w:r>
      <w:r>
        <w:fldChar w:fldCharType="separate"/>
      </w:r>
      <w:r>
        <w:rPr>
          <w:rStyle w:val="12"/>
          <w:rFonts w:hint="eastAsia"/>
        </w:rPr>
        <w:t>1.2.2. 场景化智能应用与服务：打造即插即用的"价值模块"</w:t>
      </w:r>
      <w:r>
        <w:rPr>
          <w:rFonts w:hint="eastAsia"/>
        </w:rPr>
        <w:tab/>
      </w:r>
      <w:r>
        <w:rPr>
          <w:rFonts w:hint="eastAsia"/>
        </w:rPr>
        <w:fldChar w:fldCharType="begin"/>
      </w:r>
      <w:r>
        <w:rPr>
          <w:rFonts w:hint="eastAsia"/>
        </w:rPr>
        <w:instrText xml:space="preserve"> </w:instrText>
      </w:r>
      <w:r>
        <w:instrText xml:space="preserve">PAGEREF _Toc221113236 \h</w:instrText>
      </w:r>
      <w:r>
        <w:rPr>
          <w:rFonts w:hint="eastAsia"/>
        </w:rPr>
        <w:instrText xml:space="preserve"> </w:instrText>
      </w:r>
      <w:r>
        <w:rPr>
          <w:rFonts w:hint="eastAsia"/>
        </w:rPr>
        <w:fldChar w:fldCharType="separate"/>
      </w:r>
      <w:r>
        <w:t>18</w:t>
      </w:r>
      <w:r>
        <w:rPr>
          <w:rFonts w:hint="eastAsia"/>
        </w:rPr>
        <w:fldChar w:fldCharType="end"/>
      </w:r>
      <w:r>
        <w:rPr>
          <w:rFonts w:hint="eastAsia"/>
        </w:rPr>
        <w:fldChar w:fldCharType="end"/>
      </w:r>
    </w:p>
    <w:p w14:paraId="7AA35C39">
      <w:pPr>
        <w:pStyle w:val="3"/>
        <w:tabs>
          <w:tab w:val="right" w:leader="dot" w:pos="8296"/>
        </w:tabs>
        <w:spacing w:line="360" w:lineRule="auto"/>
        <w:rPr>
          <w:sz w:val="22"/>
          <w14:ligatures w14:val="standardContextual"/>
        </w:rPr>
      </w:pPr>
      <w:r>
        <w:fldChar w:fldCharType="begin"/>
      </w:r>
      <w:r>
        <w:instrText xml:space="preserve"> HYPERLINK \l "_Toc221113237" </w:instrText>
      </w:r>
      <w:r>
        <w:fldChar w:fldCharType="separate"/>
      </w:r>
      <w:r>
        <w:rPr>
          <w:rStyle w:val="12"/>
          <w:rFonts w:hint="eastAsia"/>
        </w:rPr>
        <w:t>1.2.3. 全生命周期保障与赋能体系：培育自我驱动的"创新生态"</w:t>
      </w:r>
      <w:r>
        <w:rPr>
          <w:rFonts w:hint="eastAsia"/>
        </w:rPr>
        <w:tab/>
      </w:r>
      <w:r>
        <w:rPr>
          <w:rFonts w:hint="eastAsia"/>
        </w:rPr>
        <w:fldChar w:fldCharType="begin"/>
      </w:r>
      <w:r>
        <w:rPr>
          <w:rFonts w:hint="eastAsia"/>
        </w:rPr>
        <w:instrText xml:space="preserve"> </w:instrText>
      </w:r>
      <w:r>
        <w:instrText xml:space="preserve">PAGEREF _Toc221113237 \h</w:instrText>
      </w:r>
      <w:r>
        <w:rPr>
          <w:rFonts w:hint="eastAsia"/>
        </w:rPr>
        <w:instrText xml:space="preserve"> </w:instrText>
      </w:r>
      <w:r>
        <w:rPr>
          <w:rFonts w:hint="eastAsia"/>
        </w:rPr>
        <w:fldChar w:fldCharType="separate"/>
      </w:r>
      <w:r>
        <w:t>20</w:t>
      </w:r>
      <w:r>
        <w:rPr>
          <w:rFonts w:hint="eastAsia"/>
        </w:rPr>
        <w:fldChar w:fldCharType="end"/>
      </w:r>
      <w:r>
        <w:rPr>
          <w:rFonts w:hint="eastAsia"/>
        </w:rPr>
        <w:fldChar w:fldCharType="end"/>
      </w:r>
    </w:p>
    <w:p w14:paraId="6815F915">
      <w:pPr>
        <w:pStyle w:val="8"/>
        <w:tabs>
          <w:tab w:val="right" w:leader="dot" w:pos="8296"/>
        </w:tabs>
        <w:spacing w:line="360" w:lineRule="auto"/>
        <w:rPr>
          <w:sz w:val="22"/>
          <w14:ligatures w14:val="standardContextual"/>
        </w:rPr>
      </w:pPr>
      <w:r>
        <w:fldChar w:fldCharType="begin"/>
      </w:r>
      <w:r>
        <w:instrText xml:space="preserve"> HYPERLINK \l "_Toc221113238" </w:instrText>
      </w:r>
      <w:r>
        <w:fldChar w:fldCharType="separate"/>
      </w:r>
      <w:r>
        <w:rPr>
          <w:rStyle w:val="12"/>
          <w:rFonts w:hint="eastAsia"/>
        </w:rPr>
        <w:t>1.3. 项目实施与服务保障体系专项理解</w:t>
      </w:r>
      <w:r>
        <w:rPr>
          <w:rFonts w:hint="eastAsia"/>
        </w:rPr>
        <w:tab/>
      </w:r>
      <w:r>
        <w:rPr>
          <w:rFonts w:hint="eastAsia"/>
        </w:rPr>
        <w:fldChar w:fldCharType="begin"/>
      </w:r>
      <w:r>
        <w:rPr>
          <w:rFonts w:hint="eastAsia"/>
        </w:rPr>
        <w:instrText xml:space="preserve"> </w:instrText>
      </w:r>
      <w:r>
        <w:instrText xml:space="preserve">PAGEREF _Toc221113238 \h</w:instrText>
      </w:r>
      <w:r>
        <w:rPr>
          <w:rFonts w:hint="eastAsia"/>
        </w:rPr>
        <w:instrText xml:space="preserve"> </w:instrText>
      </w:r>
      <w:r>
        <w:rPr>
          <w:rFonts w:hint="eastAsia"/>
        </w:rPr>
        <w:fldChar w:fldCharType="separate"/>
      </w:r>
      <w:r>
        <w:t>23</w:t>
      </w:r>
      <w:r>
        <w:rPr>
          <w:rFonts w:hint="eastAsia"/>
        </w:rPr>
        <w:fldChar w:fldCharType="end"/>
      </w:r>
      <w:r>
        <w:rPr>
          <w:rFonts w:hint="eastAsia"/>
        </w:rPr>
        <w:fldChar w:fldCharType="end"/>
      </w:r>
    </w:p>
    <w:p w14:paraId="2E017691">
      <w:pPr>
        <w:pStyle w:val="3"/>
        <w:tabs>
          <w:tab w:val="right" w:leader="dot" w:pos="8296"/>
        </w:tabs>
        <w:spacing w:line="360" w:lineRule="auto"/>
        <w:rPr>
          <w:sz w:val="22"/>
          <w14:ligatures w14:val="standardContextual"/>
        </w:rPr>
      </w:pPr>
      <w:r>
        <w:fldChar w:fldCharType="begin"/>
      </w:r>
      <w:r>
        <w:instrText xml:space="preserve"> HYPERLINK \l "_Toc221113239" </w:instrText>
      </w:r>
      <w:r>
        <w:fldChar w:fldCharType="separate"/>
      </w:r>
      <w:r>
        <w:rPr>
          <w:rStyle w:val="12"/>
          <w:rFonts w:hint="eastAsia"/>
        </w:rPr>
        <w:t>1.3.1. 从数据注入到生态融合的闭环</w:t>
      </w:r>
      <w:r>
        <w:rPr>
          <w:rFonts w:hint="eastAsia"/>
        </w:rPr>
        <w:tab/>
      </w:r>
      <w:r>
        <w:rPr>
          <w:rFonts w:hint="eastAsia"/>
        </w:rPr>
        <w:fldChar w:fldCharType="begin"/>
      </w:r>
      <w:r>
        <w:rPr>
          <w:rFonts w:hint="eastAsia"/>
        </w:rPr>
        <w:instrText xml:space="preserve"> </w:instrText>
      </w:r>
      <w:r>
        <w:instrText xml:space="preserve">PAGEREF _Toc221113239 \h</w:instrText>
      </w:r>
      <w:r>
        <w:rPr>
          <w:rFonts w:hint="eastAsia"/>
        </w:rPr>
        <w:instrText xml:space="preserve"> </w:instrText>
      </w:r>
      <w:r>
        <w:rPr>
          <w:rFonts w:hint="eastAsia"/>
        </w:rPr>
        <w:fldChar w:fldCharType="separate"/>
      </w:r>
      <w:r>
        <w:t>23</w:t>
      </w:r>
      <w:r>
        <w:rPr>
          <w:rFonts w:hint="eastAsia"/>
        </w:rPr>
        <w:fldChar w:fldCharType="end"/>
      </w:r>
      <w:r>
        <w:rPr>
          <w:rFonts w:hint="eastAsia"/>
        </w:rPr>
        <w:fldChar w:fldCharType="end"/>
      </w:r>
    </w:p>
    <w:p w14:paraId="092E6DA6">
      <w:pPr>
        <w:pStyle w:val="3"/>
        <w:tabs>
          <w:tab w:val="right" w:leader="dot" w:pos="8296"/>
        </w:tabs>
        <w:spacing w:line="360" w:lineRule="auto"/>
        <w:rPr>
          <w:sz w:val="22"/>
          <w14:ligatures w14:val="standardContextual"/>
        </w:rPr>
      </w:pPr>
      <w:r>
        <w:fldChar w:fldCharType="begin"/>
      </w:r>
      <w:r>
        <w:instrText xml:space="preserve"> HYPERLINK \l "_Toc221113240" </w:instrText>
      </w:r>
      <w:r>
        <w:fldChar w:fldCharType="separate"/>
      </w:r>
      <w:r>
        <w:rPr>
          <w:rStyle w:val="12"/>
          <w:rFonts w:hint="eastAsia"/>
        </w:rPr>
        <w:t>1.3.2. 构建主动化、制度化的长效保障</w:t>
      </w:r>
      <w:r>
        <w:rPr>
          <w:rFonts w:hint="eastAsia"/>
        </w:rPr>
        <w:tab/>
      </w:r>
      <w:r>
        <w:rPr>
          <w:rFonts w:hint="eastAsia"/>
        </w:rPr>
        <w:fldChar w:fldCharType="begin"/>
      </w:r>
      <w:r>
        <w:rPr>
          <w:rFonts w:hint="eastAsia"/>
        </w:rPr>
        <w:instrText xml:space="preserve"> </w:instrText>
      </w:r>
      <w:r>
        <w:instrText xml:space="preserve">PAGEREF _Toc221113240 \h</w:instrText>
      </w:r>
      <w:r>
        <w:rPr>
          <w:rFonts w:hint="eastAsia"/>
        </w:rPr>
        <w:instrText xml:space="preserve"> </w:instrText>
      </w:r>
      <w:r>
        <w:rPr>
          <w:rFonts w:hint="eastAsia"/>
        </w:rPr>
        <w:fldChar w:fldCharType="separate"/>
      </w:r>
      <w:r>
        <w:t>26</w:t>
      </w:r>
      <w:r>
        <w:rPr>
          <w:rFonts w:hint="eastAsia"/>
        </w:rPr>
        <w:fldChar w:fldCharType="end"/>
      </w:r>
      <w:r>
        <w:rPr>
          <w:rFonts w:hint="eastAsia"/>
        </w:rPr>
        <w:fldChar w:fldCharType="end"/>
      </w:r>
    </w:p>
    <w:p w14:paraId="55312C08">
      <w:pPr>
        <w:pStyle w:val="3"/>
        <w:tabs>
          <w:tab w:val="right" w:leader="dot" w:pos="8296"/>
        </w:tabs>
        <w:spacing w:line="360" w:lineRule="auto"/>
        <w:rPr>
          <w:sz w:val="22"/>
          <w14:ligatures w14:val="standardContextual"/>
        </w:rPr>
      </w:pPr>
      <w:r>
        <w:fldChar w:fldCharType="begin"/>
      </w:r>
      <w:r>
        <w:instrText xml:space="preserve"> HYPERLINK \l "_Toc221113241" </w:instrText>
      </w:r>
      <w:r>
        <w:fldChar w:fldCharType="separate"/>
      </w:r>
      <w:r>
        <w:rPr>
          <w:rStyle w:val="12"/>
          <w:rFonts w:hint="eastAsia"/>
        </w:rPr>
        <w:t>1.3.3. 实现从“交付”到“赋能”的根本转型</w:t>
      </w:r>
      <w:r>
        <w:rPr>
          <w:rFonts w:hint="eastAsia"/>
        </w:rPr>
        <w:tab/>
      </w:r>
      <w:r>
        <w:rPr>
          <w:rFonts w:hint="eastAsia"/>
        </w:rPr>
        <w:fldChar w:fldCharType="begin"/>
      </w:r>
      <w:r>
        <w:rPr>
          <w:rFonts w:hint="eastAsia"/>
        </w:rPr>
        <w:instrText xml:space="preserve"> </w:instrText>
      </w:r>
      <w:r>
        <w:instrText xml:space="preserve">PAGEREF _Toc221113241 \h</w:instrText>
      </w:r>
      <w:r>
        <w:rPr>
          <w:rFonts w:hint="eastAsia"/>
        </w:rPr>
        <w:instrText xml:space="preserve"> </w:instrText>
      </w:r>
      <w:r>
        <w:rPr>
          <w:rFonts w:hint="eastAsia"/>
        </w:rPr>
        <w:fldChar w:fldCharType="separate"/>
      </w:r>
      <w:r>
        <w:t>27</w:t>
      </w:r>
      <w:r>
        <w:rPr>
          <w:rFonts w:hint="eastAsia"/>
        </w:rPr>
        <w:fldChar w:fldCharType="end"/>
      </w:r>
      <w:r>
        <w:rPr>
          <w:rFonts w:hint="eastAsia"/>
        </w:rPr>
        <w:fldChar w:fldCharType="end"/>
      </w:r>
    </w:p>
    <w:p w14:paraId="5A73079F">
      <w:pPr>
        <w:pStyle w:val="8"/>
        <w:tabs>
          <w:tab w:val="right" w:leader="dot" w:pos="8296"/>
        </w:tabs>
        <w:spacing w:line="360" w:lineRule="auto"/>
        <w:rPr>
          <w:sz w:val="22"/>
          <w14:ligatures w14:val="standardContextual"/>
        </w:rPr>
      </w:pPr>
      <w:r>
        <w:fldChar w:fldCharType="begin"/>
      </w:r>
      <w:r>
        <w:instrText xml:space="preserve"> HYPERLINK \l "_Toc221113242" </w:instrText>
      </w:r>
      <w:r>
        <w:fldChar w:fldCharType="separate"/>
      </w:r>
      <w:r>
        <w:rPr>
          <w:rStyle w:val="12"/>
          <w:rFonts w:hint="eastAsia"/>
        </w:rPr>
        <w:t>1.4. 项目综合重难点与一体化应对策略</w:t>
      </w:r>
      <w:r>
        <w:rPr>
          <w:rFonts w:hint="eastAsia"/>
        </w:rPr>
        <w:tab/>
      </w:r>
      <w:r>
        <w:rPr>
          <w:rFonts w:hint="eastAsia"/>
        </w:rPr>
        <w:fldChar w:fldCharType="begin"/>
      </w:r>
      <w:r>
        <w:rPr>
          <w:rFonts w:hint="eastAsia"/>
        </w:rPr>
        <w:instrText xml:space="preserve"> </w:instrText>
      </w:r>
      <w:r>
        <w:instrText xml:space="preserve">PAGEREF _Toc221113242 \h</w:instrText>
      </w:r>
      <w:r>
        <w:rPr>
          <w:rFonts w:hint="eastAsia"/>
        </w:rPr>
        <w:instrText xml:space="preserve"> </w:instrText>
      </w:r>
      <w:r>
        <w:rPr>
          <w:rFonts w:hint="eastAsia"/>
        </w:rPr>
        <w:fldChar w:fldCharType="separate"/>
      </w:r>
      <w:r>
        <w:t>30</w:t>
      </w:r>
      <w:r>
        <w:rPr>
          <w:rFonts w:hint="eastAsia"/>
        </w:rPr>
        <w:fldChar w:fldCharType="end"/>
      </w:r>
      <w:r>
        <w:rPr>
          <w:rFonts w:hint="eastAsia"/>
        </w:rPr>
        <w:fldChar w:fldCharType="end"/>
      </w:r>
    </w:p>
    <w:p w14:paraId="09F83B01">
      <w:pPr>
        <w:pStyle w:val="3"/>
        <w:tabs>
          <w:tab w:val="right" w:leader="dot" w:pos="8296"/>
        </w:tabs>
        <w:spacing w:line="360" w:lineRule="auto"/>
        <w:rPr>
          <w:sz w:val="22"/>
          <w14:ligatures w14:val="standardContextual"/>
        </w:rPr>
      </w:pPr>
      <w:r>
        <w:fldChar w:fldCharType="begin"/>
      </w:r>
      <w:r>
        <w:instrText xml:space="preserve"> HYPERLINK \l "_Toc221113243" </w:instrText>
      </w:r>
      <w:r>
        <w:fldChar w:fldCharType="separate"/>
      </w:r>
      <w:r>
        <w:rPr>
          <w:rStyle w:val="12"/>
          <w:rFonts w:hint="eastAsia"/>
        </w:rPr>
        <w:t>1.4.1. 构系统无缝集成与多源数据高质量融合的复杂性</w:t>
      </w:r>
      <w:r>
        <w:rPr>
          <w:rFonts w:hint="eastAsia"/>
        </w:rPr>
        <w:tab/>
      </w:r>
      <w:r>
        <w:rPr>
          <w:rFonts w:hint="eastAsia"/>
        </w:rPr>
        <w:fldChar w:fldCharType="begin"/>
      </w:r>
      <w:r>
        <w:rPr>
          <w:rFonts w:hint="eastAsia"/>
        </w:rPr>
        <w:instrText xml:space="preserve"> </w:instrText>
      </w:r>
      <w:r>
        <w:instrText xml:space="preserve">PAGEREF _Toc221113243 \h</w:instrText>
      </w:r>
      <w:r>
        <w:rPr>
          <w:rFonts w:hint="eastAsia"/>
        </w:rPr>
        <w:instrText xml:space="preserve"> </w:instrText>
      </w:r>
      <w:r>
        <w:rPr>
          <w:rFonts w:hint="eastAsia"/>
        </w:rPr>
        <w:fldChar w:fldCharType="separate"/>
      </w:r>
      <w:r>
        <w:t>31</w:t>
      </w:r>
      <w:r>
        <w:rPr>
          <w:rFonts w:hint="eastAsia"/>
        </w:rPr>
        <w:fldChar w:fldCharType="end"/>
      </w:r>
      <w:r>
        <w:rPr>
          <w:rFonts w:hint="eastAsia"/>
        </w:rPr>
        <w:fldChar w:fldCharType="end"/>
      </w:r>
    </w:p>
    <w:p w14:paraId="12FC397B">
      <w:pPr>
        <w:pStyle w:val="3"/>
        <w:tabs>
          <w:tab w:val="right" w:leader="dot" w:pos="8296"/>
        </w:tabs>
        <w:spacing w:line="360" w:lineRule="auto"/>
        <w:rPr>
          <w:sz w:val="22"/>
          <w14:ligatures w14:val="standardContextual"/>
        </w:rPr>
      </w:pPr>
      <w:r>
        <w:fldChar w:fldCharType="begin"/>
      </w:r>
      <w:r>
        <w:instrText xml:space="preserve"> HYPERLINK \l "_Toc221113244" </w:instrText>
      </w:r>
      <w:r>
        <w:fldChar w:fldCharType="separate"/>
      </w:r>
      <w:r>
        <w:rPr>
          <w:rStyle w:val="12"/>
          <w:rFonts w:hint="eastAsia"/>
        </w:rPr>
        <w:t>1.4.2. 确保平台长期稳健运行与业务需求即时响应的双重压力</w:t>
      </w:r>
      <w:r>
        <w:rPr>
          <w:rFonts w:hint="eastAsia"/>
        </w:rPr>
        <w:tab/>
      </w:r>
      <w:r>
        <w:rPr>
          <w:rFonts w:hint="eastAsia"/>
        </w:rPr>
        <w:fldChar w:fldCharType="begin"/>
      </w:r>
      <w:r>
        <w:rPr>
          <w:rFonts w:hint="eastAsia"/>
        </w:rPr>
        <w:instrText xml:space="preserve"> </w:instrText>
      </w:r>
      <w:r>
        <w:instrText xml:space="preserve">PAGEREF _Toc221113244 \h</w:instrText>
      </w:r>
      <w:r>
        <w:rPr>
          <w:rFonts w:hint="eastAsia"/>
        </w:rPr>
        <w:instrText xml:space="preserve"> </w:instrText>
      </w:r>
      <w:r>
        <w:rPr>
          <w:rFonts w:hint="eastAsia"/>
        </w:rPr>
        <w:fldChar w:fldCharType="separate"/>
      </w:r>
      <w:r>
        <w:t>32</w:t>
      </w:r>
      <w:r>
        <w:rPr>
          <w:rFonts w:hint="eastAsia"/>
        </w:rPr>
        <w:fldChar w:fldCharType="end"/>
      </w:r>
      <w:r>
        <w:rPr>
          <w:rFonts w:hint="eastAsia"/>
        </w:rPr>
        <w:fldChar w:fldCharType="end"/>
      </w:r>
    </w:p>
    <w:p w14:paraId="7135EC49">
      <w:pPr>
        <w:pStyle w:val="3"/>
        <w:tabs>
          <w:tab w:val="right" w:leader="dot" w:pos="8296"/>
        </w:tabs>
        <w:spacing w:line="360" w:lineRule="auto"/>
        <w:rPr>
          <w:sz w:val="22"/>
          <w14:ligatures w14:val="standardContextual"/>
        </w:rPr>
      </w:pPr>
      <w:r>
        <w:fldChar w:fldCharType="begin"/>
      </w:r>
      <w:r>
        <w:instrText xml:space="preserve"> HYPERLINK \l "_Toc221113245" </w:instrText>
      </w:r>
      <w:r>
        <w:fldChar w:fldCharType="separate"/>
      </w:r>
      <w:r>
        <w:rPr>
          <w:rStyle w:val="12"/>
          <w:rFonts w:hint="eastAsia"/>
        </w:rPr>
        <w:t>1.4.3. 实现从“系统交付”到“内部能力赋能”的根本性转变</w:t>
      </w:r>
      <w:r>
        <w:rPr>
          <w:rFonts w:hint="eastAsia"/>
        </w:rPr>
        <w:tab/>
      </w:r>
      <w:r>
        <w:rPr>
          <w:rFonts w:hint="eastAsia"/>
        </w:rPr>
        <w:fldChar w:fldCharType="begin"/>
      </w:r>
      <w:r>
        <w:rPr>
          <w:rFonts w:hint="eastAsia"/>
        </w:rPr>
        <w:instrText xml:space="preserve"> </w:instrText>
      </w:r>
      <w:r>
        <w:instrText xml:space="preserve">PAGEREF _Toc221113245 \h</w:instrText>
      </w:r>
      <w:r>
        <w:rPr>
          <w:rFonts w:hint="eastAsia"/>
        </w:rPr>
        <w:instrText xml:space="preserve"> </w:instrText>
      </w:r>
      <w:r>
        <w:rPr>
          <w:rFonts w:hint="eastAsia"/>
        </w:rPr>
        <w:fldChar w:fldCharType="separate"/>
      </w:r>
      <w:r>
        <w:t>34</w:t>
      </w:r>
      <w:r>
        <w:rPr>
          <w:rFonts w:hint="eastAsia"/>
        </w:rPr>
        <w:fldChar w:fldCharType="end"/>
      </w:r>
      <w:r>
        <w:rPr>
          <w:rFonts w:hint="eastAsia"/>
        </w:rPr>
        <w:fldChar w:fldCharType="end"/>
      </w:r>
    </w:p>
    <w:p w14:paraId="3CB6AD19">
      <w:pPr>
        <w:pStyle w:val="6"/>
        <w:tabs>
          <w:tab w:val="right" w:leader="dot" w:pos="8296"/>
        </w:tabs>
        <w:spacing w:line="360" w:lineRule="auto"/>
        <w:rPr>
          <w:sz w:val="22"/>
          <w14:ligatures w14:val="standardContextual"/>
        </w:rPr>
      </w:pPr>
      <w:r>
        <w:fldChar w:fldCharType="begin"/>
      </w:r>
      <w:r>
        <w:instrText xml:space="preserve"> HYPERLINK \l "_Toc221113246" </w:instrText>
      </w:r>
      <w:r>
        <w:fldChar w:fldCharType="separate"/>
      </w:r>
      <w:r>
        <w:rPr>
          <w:rStyle w:val="12"/>
          <w:rFonts w:hint="eastAsia"/>
        </w:rPr>
        <w:t>2. 项目总体规划设计</w:t>
      </w:r>
      <w:r>
        <w:rPr>
          <w:rFonts w:hint="eastAsia"/>
        </w:rPr>
        <w:tab/>
      </w:r>
      <w:r>
        <w:rPr>
          <w:rFonts w:hint="eastAsia"/>
        </w:rPr>
        <w:fldChar w:fldCharType="begin"/>
      </w:r>
      <w:r>
        <w:rPr>
          <w:rFonts w:hint="eastAsia"/>
        </w:rPr>
        <w:instrText xml:space="preserve"> </w:instrText>
      </w:r>
      <w:r>
        <w:instrText xml:space="preserve">PAGEREF _Toc221113246 \h</w:instrText>
      </w:r>
      <w:r>
        <w:rPr>
          <w:rFonts w:hint="eastAsia"/>
        </w:rPr>
        <w:instrText xml:space="preserve"> </w:instrText>
      </w:r>
      <w:r>
        <w:rPr>
          <w:rFonts w:hint="eastAsia"/>
        </w:rPr>
        <w:fldChar w:fldCharType="separate"/>
      </w:r>
      <w:r>
        <w:t>36</w:t>
      </w:r>
      <w:r>
        <w:rPr>
          <w:rFonts w:hint="eastAsia"/>
        </w:rPr>
        <w:fldChar w:fldCharType="end"/>
      </w:r>
      <w:r>
        <w:rPr>
          <w:rFonts w:hint="eastAsia"/>
        </w:rPr>
        <w:fldChar w:fldCharType="end"/>
      </w:r>
    </w:p>
    <w:p w14:paraId="471B663B">
      <w:pPr>
        <w:pStyle w:val="8"/>
        <w:tabs>
          <w:tab w:val="right" w:leader="dot" w:pos="8296"/>
        </w:tabs>
        <w:spacing w:line="360" w:lineRule="auto"/>
        <w:rPr>
          <w:sz w:val="22"/>
          <w14:ligatures w14:val="standardContextual"/>
        </w:rPr>
      </w:pPr>
      <w:r>
        <w:fldChar w:fldCharType="begin"/>
      </w:r>
      <w:r>
        <w:instrText xml:space="preserve"> HYPERLINK \l "_Toc221113247" </w:instrText>
      </w:r>
      <w:r>
        <w:fldChar w:fldCharType="separate"/>
      </w:r>
      <w:r>
        <w:rPr>
          <w:rStyle w:val="12"/>
          <w:rFonts w:hint="eastAsia"/>
        </w:rPr>
        <w:t>2.1. 总体设计原则与思路</w:t>
      </w:r>
      <w:r>
        <w:rPr>
          <w:rFonts w:hint="eastAsia"/>
        </w:rPr>
        <w:tab/>
      </w:r>
      <w:r>
        <w:rPr>
          <w:rFonts w:hint="eastAsia"/>
        </w:rPr>
        <w:fldChar w:fldCharType="begin"/>
      </w:r>
      <w:r>
        <w:rPr>
          <w:rFonts w:hint="eastAsia"/>
        </w:rPr>
        <w:instrText xml:space="preserve"> </w:instrText>
      </w:r>
      <w:r>
        <w:instrText xml:space="preserve">PAGEREF _Toc221113247 \h</w:instrText>
      </w:r>
      <w:r>
        <w:rPr>
          <w:rFonts w:hint="eastAsia"/>
        </w:rPr>
        <w:instrText xml:space="preserve"> </w:instrText>
      </w:r>
      <w:r>
        <w:rPr>
          <w:rFonts w:hint="eastAsia"/>
        </w:rPr>
        <w:fldChar w:fldCharType="separate"/>
      </w:r>
      <w:r>
        <w:t>36</w:t>
      </w:r>
      <w:r>
        <w:rPr>
          <w:rFonts w:hint="eastAsia"/>
        </w:rPr>
        <w:fldChar w:fldCharType="end"/>
      </w:r>
      <w:r>
        <w:rPr>
          <w:rFonts w:hint="eastAsia"/>
        </w:rPr>
        <w:fldChar w:fldCharType="end"/>
      </w:r>
    </w:p>
    <w:p w14:paraId="012DD096">
      <w:pPr>
        <w:pStyle w:val="8"/>
        <w:tabs>
          <w:tab w:val="right" w:leader="dot" w:pos="8296"/>
        </w:tabs>
        <w:spacing w:line="360" w:lineRule="auto"/>
        <w:rPr>
          <w:sz w:val="22"/>
          <w14:ligatures w14:val="standardContextual"/>
        </w:rPr>
      </w:pPr>
      <w:r>
        <w:fldChar w:fldCharType="begin"/>
      </w:r>
      <w:r>
        <w:instrText xml:space="preserve"> HYPERLINK \l "_Toc221113248" </w:instrText>
      </w:r>
      <w:r>
        <w:fldChar w:fldCharType="separate"/>
      </w:r>
      <w:r>
        <w:rPr>
          <w:rStyle w:val="12"/>
          <w:rFonts w:hint="eastAsia"/>
        </w:rPr>
        <w:t>2.2. 总体架构设计</w:t>
      </w:r>
      <w:r>
        <w:rPr>
          <w:rFonts w:hint="eastAsia"/>
        </w:rPr>
        <w:tab/>
      </w:r>
      <w:r>
        <w:rPr>
          <w:rFonts w:hint="eastAsia"/>
        </w:rPr>
        <w:fldChar w:fldCharType="begin"/>
      </w:r>
      <w:r>
        <w:rPr>
          <w:rFonts w:hint="eastAsia"/>
        </w:rPr>
        <w:instrText xml:space="preserve"> </w:instrText>
      </w:r>
      <w:r>
        <w:instrText xml:space="preserve">PAGEREF _Toc221113248 \h</w:instrText>
      </w:r>
      <w:r>
        <w:rPr>
          <w:rFonts w:hint="eastAsia"/>
        </w:rPr>
        <w:instrText xml:space="preserve"> </w:instrText>
      </w:r>
      <w:r>
        <w:rPr>
          <w:rFonts w:hint="eastAsia"/>
        </w:rPr>
        <w:fldChar w:fldCharType="separate"/>
      </w:r>
      <w:r>
        <w:t>41</w:t>
      </w:r>
      <w:r>
        <w:rPr>
          <w:rFonts w:hint="eastAsia"/>
        </w:rPr>
        <w:fldChar w:fldCharType="end"/>
      </w:r>
      <w:r>
        <w:rPr>
          <w:rFonts w:hint="eastAsia"/>
        </w:rPr>
        <w:fldChar w:fldCharType="end"/>
      </w:r>
    </w:p>
    <w:p w14:paraId="55A7B43A">
      <w:pPr>
        <w:pStyle w:val="3"/>
        <w:tabs>
          <w:tab w:val="right" w:leader="dot" w:pos="8296"/>
        </w:tabs>
        <w:spacing w:line="360" w:lineRule="auto"/>
        <w:rPr>
          <w:sz w:val="22"/>
          <w14:ligatures w14:val="standardContextual"/>
        </w:rPr>
      </w:pPr>
      <w:r>
        <w:fldChar w:fldCharType="begin"/>
      </w:r>
      <w:r>
        <w:instrText xml:space="preserve"> HYPERLINK \l "_Toc221113249" </w:instrText>
      </w:r>
      <w:r>
        <w:fldChar w:fldCharType="separate"/>
      </w:r>
      <w:r>
        <w:rPr>
          <w:rStyle w:val="12"/>
          <w:rFonts w:hint="eastAsia"/>
        </w:rPr>
        <w:t>2.2.1. 分层架构设计</w:t>
      </w:r>
      <w:r>
        <w:rPr>
          <w:rFonts w:hint="eastAsia"/>
        </w:rPr>
        <w:tab/>
      </w:r>
      <w:r>
        <w:rPr>
          <w:rFonts w:hint="eastAsia"/>
        </w:rPr>
        <w:fldChar w:fldCharType="begin"/>
      </w:r>
      <w:r>
        <w:rPr>
          <w:rFonts w:hint="eastAsia"/>
        </w:rPr>
        <w:instrText xml:space="preserve"> </w:instrText>
      </w:r>
      <w:r>
        <w:instrText xml:space="preserve">PAGEREF _Toc221113249 \h</w:instrText>
      </w:r>
      <w:r>
        <w:rPr>
          <w:rFonts w:hint="eastAsia"/>
        </w:rPr>
        <w:instrText xml:space="preserve"> </w:instrText>
      </w:r>
      <w:r>
        <w:rPr>
          <w:rFonts w:hint="eastAsia"/>
        </w:rPr>
        <w:fldChar w:fldCharType="separate"/>
      </w:r>
      <w:r>
        <w:t>42</w:t>
      </w:r>
      <w:r>
        <w:rPr>
          <w:rFonts w:hint="eastAsia"/>
        </w:rPr>
        <w:fldChar w:fldCharType="end"/>
      </w:r>
      <w:r>
        <w:rPr>
          <w:rFonts w:hint="eastAsia"/>
        </w:rPr>
        <w:fldChar w:fldCharType="end"/>
      </w:r>
    </w:p>
    <w:p w14:paraId="1DB9F595">
      <w:pPr>
        <w:pStyle w:val="7"/>
        <w:tabs>
          <w:tab w:val="right" w:leader="dot" w:pos="8296"/>
        </w:tabs>
        <w:spacing w:line="360" w:lineRule="auto"/>
        <w:rPr>
          <w:sz w:val="22"/>
          <w14:ligatures w14:val="standardContextual"/>
        </w:rPr>
      </w:pPr>
      <w:r>
        <w:fldChar w:fldCharType="begin"/>
      </w:r>
      <w:r>
        <w:instrText xml:space="preserve"> HYPERLINK \l "_Toc221113250" </w:instrText>
      </w:r>
      <w:r>
        <w:fldChar w:fldCharType="separate"/>
      </w:r>
      <w:r>
        <w:rPr>
          <w:rStyle w:val="12"/>
          <w:rFonts w:hint="eastAsia"/>
        </w:rPr>
        <w:t>2.2.1.1. 基础设施层（IaaS/云原生底座）</w:t>
      </w:r>
      <w:r>
        <w:rPr>
          <w:rFonts w:hint="eastAsia"/>
        </w:rPr>
        <w:tab/>
      </w:r>
      <w:r>
        <w:rPr>
          <w:rFonts w:hint="eastAsia"/>
        </w:rPr>
        <w:fldChar w:fldCharType="begin"/>
      </w:r>
      <w:r>
        <w:rPr>
          <w:rFonts w:hint="eastAsia"/>
        </w:rPr>
        <w:instrText xml:space="preserve"> </w:instrText>
      </w:r>
      <w:r>
        <w:instrText xml:space="preserve">PAGEREF _Toc221113250 \h</w:instrText>
      </w:r>
      <w:r>
        <w:rPr>
          <w:rFonts w:hint="eastAsia"/>
        </w:rPr>
        <w:instrText xml:space="preserve"> </w:instrText>
      </w:r>
      <w:r>
        <w:rPr>
          <w:rFonts w:hint="eastAsia"/>
        </w:rPr>
        <w:fldChar w:fldCharType="separate"/>
      </w:r>
      <w:r>
        <w:t>44</w:t>
      </w:r>
      <w:r>
        <w:rPr>
          <w:rFonts w:hint="eastAsia"/>
        </w:rPr>
        <w:fldChar w:fldCharType="end"/>
      </w:r>
      <w:r>
        <w:rPr>
          <w:rFonts w:hint="eastAsia"/>
        </w:rPr>
        <w:fldChar w:fldCharType="end"/>
      </w:r>
    </w:p>
    <w:p w14:paraId="020F1246">
      <w:pPr>
        <w:pStyle w:val="7"/>
        <w:tabs>
          <w:tab w:val="right" w:leader="dot" w:pos="8296"/>
        </w:tabs>
        <w:spacing w:line="360" w:lineRule="auto"/>
        <w:rPr>
          <w:sz w:val="22"/>
          <w14:ligatures w14:val="standardContextual"/>
        </w:rPr>
      </w:pPr>
      <w:r>
        <w:fldChar w:fldCharType="begin"/>
      </w:r>
      <w:r>
        <w:instrText xml:space="preserve"> HYPERLINK \l "_Toc221113251" </w:instrText>
      </w:r>
      <w:r>
        <w:fldChar w:fldCharType="separate"/>
      </w:r>
      <w:r>
        <w:rPr>
          <w:rStyle w:val="12"/>
          <w:rFonts w:hint="eastAsia"/>
        </w:rPr>
        <w:t>2.2.1.2. 数据资源层（统一数据资产中心）</w:t>
      </w:r>
      <w:r>
        <w:rPr>
          <w:rFonts w:hint="eastAsia"/>
        </w:rPr>
        <w:tab/>
      </w:r>
      <w:r>
        <w:rPr>
          <w:rFonts w:hint="eastAsia"/>
        </w:rPr>
        <w:fldChar w:fldCharType="begin"/>
      </w:r>
      <w:r>
        <w:rPr>
          <w:rFonts w:hint="eastAsia"/>
        </w:rPr>
        <w:instrText xml:space="preserve"> </w:instrText>
      </w:r>
      <w:r>
        <w:instrText xml:space="preserve">PAGEREF _Toc221113251 \h</w:instrText>
      </w:r>
      <w:r>
        <w:rPr>
          <w:rFonts w:hint="eastAsia"/>
        </w:rPr>
        <w:instrText xml:space="preserve"> </w:instrText>
      </w:r>
      <w:r>
        <w:rPr>
          <w:rFonts w:hint="eastAsia"/>
        </w:rPr>
        <w:fldChar w:fldCharType="separate"/>
      </w:r>
      <w:r>
        <w:t>46</w:t>
      </w:r>
      <w:r>
        <w:rPr>
          <w:rFonts w:hint="eastAsia"/>
        </w:rPr>
        <w:fldChar w:fldCharType="end"/>
      </w:r>
      <w:r>
        <w:rPr>
          <w:rFonts w:hint="eastAsia"/>
        </w:rPr>
        <w:fldChar w:fldCharType="end"/>
      </w:r>
    </w:p>
    <w:p w14:paraId="173CC34D">
      <w:pPr>
        <w:pStyle w:val="7"/>
        <w:tabs>
          <w:tab w:val="right" w:leader="dot" w:pos="8296"/>
        </w:tabs>
        <w:spacing w:line="360" w:lineRule="auto"/>
        <w:rPr>
          <w:sz w:val="22"/>
          <w14:ligatures w14:val="standardContextual"/>
        </w:rPr>
      </w:pPr>
      <w:r>
        <w:fldChar w:fldCharType="begin"/>
      </w:r>
      <w:r>
        <w:instrText xml:space="preserve"> HYPERLINK \l "_Toc221113252" </w:instrText>
      </w:r>
      <w:r>
        <w:fldChar w:fldCharType="separate"/>
      </w:r>
      <w:r>
        <w:rPr>
          <w:rStyle w:val="12"/>
          <w:rFonts w:hint="eastAsia"/>
        </w:rPr>
        <w:t>2.2.1.3. AI引擎层（模型与能力中台）</w:t>
      </w:r>
      <w:r>
        <w:rPr>
          <w:rFonts w:hint="eastAsia"/>
        </w:rPr>
        <w:tab/>
      </w:r>
      <w:r>
        <w:rPr>
          <w:rFonts w:hint="eastAsia"/>
        </w:rPr>
        <w:fldChar w:fldCharType="begin"/>
      </w:r>
      <w:r>
        <w:rPr>
          <w:rFonts w:hint="eastAsia"/>
        </w:rPr>
        <w:instrText xml:space="preserve"> </w:instrText>
      </w:r>
      <w:r>
        <w:instrText xml:space="preserve">PAGEREF _Toc221113252 \h</w:instrText>
      </w:r>
      <w:r>
        <w:rPr>
          <w:rFonts w:hint="eastAsia"/>
        </w:rPr>
        <w:instrText xml:space="preserve"> </w:instrText>
      </w:r>
      <w:r>
        <w:rPr>
          <w:rFonts w:hint="eastAsia"/>
        </w:rPr>
        <w:fldChar w:fldCharType="separate"/>
      </w:r>
      <w:r>
        <w:t>46</w:t>
      </w:r>
      <w:r>
        <w:rPr>
          <w:rFonts w:hint="eastAsia"/>
        </w:rPr>
        <w:fldChar w:fldCharType="end"/>
      </w:r>
      <w:r>
        <w:rPr>
          <w:rFonts w:hint="eastAsia"/>
        </w:rPr>
        <w:fldChar w:fldCharType="end"/>
      </w:r>
    </w:p>
    <w:p w14:paraId="111D1979">
      <w:pPr>
        <w:pStyle w:val="7"/>
        <w:tabs>
          <w:tab w:val="right" w:leader="dot" w:pos="8296"/>
        </w:tabs>
        <w:spacing w:line="360" w:lineRule="auto"/>
        <w:rPr>
          <w:sz w:val="22"/>
          <w14:ligatures w14:val="standardContextual"/>
        </w:rPr>
      </w:pPr>
      <w:r>
        <w:fldChar w:fldCharType="begin"/>
      </w:r>
      <w:r>
        <w:instrText xml:space="preserve"> HYPERLINK \l "_Toc221113253" </w:instrText>
      </w:r>
      <w:r>
        <w:fldChar w:fldCharType="separate"/>
      </w:r>
      <w:r>
        <w:rPr>
          <w:rStyle w:val="12"/>
          <w:rFonts w:hint="eastAsia"/>
        </w:rPr>
        <w:t>2.2.1.4. 应用开发层（低代码开发环境）</w:t>
      </w:r>
      <w:r>
        <w:rPr>
          <w:rFonts w:hint="eastAsia"/>
        </w:rPr>
        <w:tab/>
      </w:r>
      <w:r>
        <w:rPr>
          <w:rFonts w:hint="eastAsia"/>
        </w:rPr>
        <w:fldChar w:fldCharType="begin"/>
      </w:r>
      <w:r>
        <w:rPr>
          <w:rFonts w:hint="eastAsia"/>
        </w:rPr>
        <w:instrText xml:space="preserve"> </w:instrText>
      </w:r>
      <w:r>
        <w:instrText xml:space="preserve">PAGEREF _Toc221113253 \h</w:instrText>
      </w:r>
      <w:r>
        <w:rPr>
          <w:rFonts w:hint="eastAsia"/>
        </w:rPr>
        <w:instrText xml:space="preserve"> </w:instrText>
      </w:r>
      <w:r>
        <w:rPr>
          <w:rFonts w:hint="eastAsia"/>
        </w:rPr>
        <w:fldChar w:fldCharType="separate"/>
      </w:r>
      <w:r>
        <w:t>48</w:t>
      </w:r>
      <w:r>
        <w:rPr>
          <w:rFonts w:hint="eastAsia"/>
        </w:rPr>
        <w:fldChar w:fldCharType="end"/>
      </w:r>
      <w:r>
        <w:rPr>
          <w:rFonts w:hint="eastAsia"/>
        </w:rPr>
        <w:fldChar w:fldCharType="end"/>
      </w:r>
    </w:p>
    <w:p w14:paraId="2466FFCA">
      <w:pPr>
        <w:pStyle w:val="7"/>
        <w:tabs>
          <w:tab w:val="right" w:leader="dot" w:pos="8296"/>
        </w:tabs>
        <w:spacing w:line="360" w:lineRule="auto"/>
        <w:rPr>
          <w:sz w:val="22"/>
          <w14:ligatures w14:val="standardContextual"/>
        </w:rPr>
      </w:pPr>
      <w:r>
        <w:fldChar w:fldCharType="begin"/>
      </w:r>
      <w:r>
        <w:instrText xml:space="preserve"> HYPERLINK \l "_Toc221113254" </w:instrText>
      </w:r>
      <w:r>
        <w:fldChar w:fldCharType="separate"/>
      </w:r>
      <w:r>
        <w:rPr>
          <w:rStyle w:val="12"/>
          <w:rFonts w:hint="eastAsia"/>
        </w:rPr>
        <w:t>2.2.1.5. 应用服务层（能力开放与治理）</w:t>
      </w:r>
      <w:r>
        <w:rPr>
          <w:rFonts w:hint="eastAsia"/>
        </w:rPr>
        <w:tab/>
      </w:r>
      <w:r>
        <w:rPr>
          <w:rFonts w:hint="eastAsia"/>
        </w:rPr>
        <w:fldChar w:fldCharType="begin"/>
      </w:r>
      <w:r>
        <w:rPr>
          <w:rFonts w:hint="eastAsia"/>
        </w:rPr>
        <w:instrText xml:space="preserve"> </w:instrText>
      </w:r>
      <w:r>
        <w:instrText xml:space="preserve">PAGEREF _Toc221113254 \h</w:instrText>
      </w:r>
      <w:r>
        <w:rPr>
          <w:rFonts w:hint="eastAsia"/>
        </w:rPr>
        <w:instrText xml:space="preserve"> </w:instrText>
      </w:r>
      <w:r>
        <w:rPr>
          <w:rFonts w:hint="eastAsia"/>
        </w:rPr>
        <w:fldChar w:fldCharType="separate"/>
      </w:r>
      <w:r>
        <w:t>50</w:t>
      </w:r>
      <w:r>
        <w:rPr>
          <w:rFonts w:hint="eastAsia"/>
        </w:rPr>
        <w:fldChar w:fldCharType="end"/>
      </w:r>
      <w:r>
        <w:rPr>
          <w:rFonts w:hint="eastAsia"/>
        </w:rPr>
        <w:fldChar w:fldCharType="end"/>
      </w:r>
    </w:p>
    <w:p w14:paraId="1E6FB124">
      <w:pPr>
        <w:pStyle w:val="7"/>
        <w:tabs>
          <w:tab w:val="right" w:leader="dot" w:pos="8296"/>
        </w:tabs>
        <w:spacing w:line="360" w:lineRule="auto"/>
        <w:rPr>
          <w:sz w:val="22"/>
          <w14:ligatures w14:val="standardContextual"/>
        </w:rPr>
      </w:pPr>
      <w:r>
        <w:fldChar w:fldCharType="begin"/>
      </w:r>
      <w:r>
        <w:instrText xml:space="preserve"> HYPERLINK \l "_Toc221113255" </w:instrText>
      </w:r>
      <w:r>
        <w:fldChar w:fldCharType="separate"/>
      </w:r>
      <w:r>
        <w:rPr>
          <w:rStyle w:val="12"/>
          <w:rFonts w:hint="eastAsia"/>
        </w:rPr>
        <w:t>2.2.1.6. 用户交互层（多渠道触达）</w:t>
      </w:r>
      <w:r>
        <w:rPr>
          <w:rFonts w:hint="eastAsia"/>
        </w:rPr>
        <w:tab/>
      </w:r>
      <w:r>
        <w:rPr>
          <w:rFonts w:hint="eastAsia"/>
        </w:rPr>
        <w:fldChar w:fldCharType="begin"/>
      </w:r>
      <w:r>
        <w:rPr>
          <w:rFonts w:hint="eastAsia"/>
        </w:rPr>
        <w:instrText xml:space="preserve"> </w:instrText>
      </w:r>
      <w:r>
        <w:instrText xml:space="preserve">PAGEREF _Toc221113255 \h</w:instrText>
      </w:r>
      <w:r>
        <w:rPr>
          <w:rFonts w:hint="eastAsia"/>
        </w:rPr>
        <w:instrText xml:space="preserve"> </w:instrText>
      </w:r>
      <w:r>
        <w:rPr>
          <w:rFonts w:hint="eastAsia"/>
        </w:rPr>
        <w:fldChar w:fldCharType="separate"/>
      </w:r>
      <w:r>
        <w:t>51</w:t>
      </w:r>
      <w:r>
        <w:rPr>
          <w:rFonts w:hint="eastAsia"/>
        </w:rPr>
        <w:fldChar w:fldCharType="end"/>
      </w:r>
      <w:r>
        <w:rPr>
          <w:rFonts w:hint="eastAsia"/>
        </w:rPr>
        <w:fldChar w:fldCharType="end"/>
      </w:r>
    </w:p>
    <w:p w14:paraId="3DEB73DE">
      <w:pPr>
        <w:pStyle w:val="3"/>
        <w:tabs>
          <w:tab w:val="right" w:leader="dot" w:pos="8296"/>
        </w:tabs>
        <w:spacing w:line="360" w:lineRule="auto"/>
        <w:rPr>
          <w:sz w:val="22"/>
          <w14:ligatures w14:val="standardContextual"/>
        </w:rPr>
      </w:pPr>
      <w:r>
        <w:fldChar w:fldCharType="begin"/>
      </w:r>
      <w:r>
        <w:instrText xml:space="preserve"> HYPERLINK \l "_Toc221113256" </w:instrText>
      </w:r>
      <w:r>
        <w:fldChar w:fldCharType="separate"/>
      </w:r>
      <w:r>
        <w:rPr>
          <w:rStyle w:val="12"/>
          <w:rFonts w:hint="eastAsia"/>
        </w:rPr>
        <w:t>2.2.2. 技术架构说明</w:t>
      </w:r>
      <w:r>
        <w:rPr>
          <w:rFonts w:hint="eastAsia"/>
        </w:rPr>
        <w:tab/>
      </w:r>
      <w:r>
        <w:rPr>
          <w:rFonts w:hint="eastAsia"/>
        </w:rPr>
        <w:fldChar w:fldCharType="begin"/>
      </w:r>
      <w:r>
        <w:rPr>
          <w:rFonts w:hint="eastAsia"/>
        </w:rPr>
        <w:instrText xml:space="preserve"> </w:instrText>
      </w:r>
      <w:r>
        <w:instrText xml:space="preserve">PAGEREF _Toc221113256 \h</w:instrText>
      </w:r>
      <w:r>
        <w:rPr>
          <w:rFonts w:hint="eastAsia"/>
        </w:rPr>
        <w:instrText xml:space="preserve"> </w:instrText>
      </w:r>
      <w:r>
        <w:rPr>
          <w:rFonts w:hint="eastAsia"/>
        </w:rPr>
        <w:fldChar w:fldCharType="separate"/>
      </w:r>
      <w:r>
        <w:t>53</w:t>
      </w:r>
      <w:r>
        <w:rPr>
          <w:rFonts w:hint="eastAsia"/>
        </w:rPr>
        <w:fldChar w:fldCharType="end"/>
      </w:r>
      <w:r>
        <w:rPr>
          <w:rFonts w:hint="eastAsia"/>
        </w:rPr>
        <w:fldChar w:fldCharType="end"/>
      </w:r>
    </w:p>
    <w:p w14:paraId="0CC8D18F">
      <w:pPr>
        <w:pStyle w:val="7"/>
        <w:tabs>
          <w:tab w:val="right" w:leader="dot" w:pos="8296"/>
        </w:tabs>
        <w:spacing w:line="360" w:lineRule="auto"/>
        <w:rPr>
          <w:sz w:val="22"/>
          <w14:ligatures w14:val="standardContextual"/>
        </w:rPr>
      </w:pPr>
      <w:r>
        <w:fldChar w:fldCharType="begin"/>
      </w:r>
      <w:r>
        <w:instrText xml:space="preserve"> HYPERLINK \l "_Toc221113257" </w:instrText>
      </w:r>
      <w:r>
        <w:fldChar w:fldCharType="separate"/>
      </w:r>
      <w:r>
        <w:rPr>
          <w:rStyle w:val="12"/>
          <w:rFonts w:hint="eastAsia"/>
        </w:rPr>
        <w:t>2.2.2.1. 微服务架构与云原生</w:t>
      </w:r>
      <w:r>
        <w:rPr>
          <w:rFonts w:hint="eastAsia"/>
        </w:rPr>
        <w:tab/>
      </w:r>
      <w:r>
        <w:rPr>
          <w:rFonts w:hint="eastAsia"/>
        </w:rPr>
        <w:fldChar w:fldCharType="begin"/>
      </w:r>
      <w:r>
        <w:rPr>
          <w:rFonts w:hint="eastAsia"/>
        </w:rPr>
        <w:instrText xml:space="preserve"> </w:instrText>
      </w:r>
      <w:r>
        <w:instrText xml:space="preserve">PAGEREF _Toc221113257 \h</w:instrText>
      </w:r>
      <w:r>
        <w:rPr>
          <w:rFonts w:hint="eastAsia"/>
        </w:rPr>
        <w:instrText xml:space="preserve"> </w:instrText>
      </w:r>
      <w:r>
        <w:rPr>
          <w:rFonts w:hint="eastAsia"/>
        </w:rPr>
        <w:fldChar w:fldCharType="separate"/>
      </w:r>
      <w:r>
        <w:t>53</w:t>
      </w:r>
      <w:r>
        <w:rPr>
          <w:rFonts w:hint="eastAsia"/>
        </w:rPr>
        <w:fldChar w:fldCharType="end"/>
      </w:r>
      <w:r>
        <w:rPr>
          <w:rFonts w:hint="eastAsia"/>
        </w:rPr>
        <w:fldChar w:fldCharType="end"/>
      </w:r>
    </w:p>
    <w:p w14:paraId="0F1C207C">
      <w:pPr>
        <w:pStyle w:val="7"/>
        <w:tabs>
          <w:tab w:val="right" w:leader="dot" w:pos="8296"/>
        </w:tabs>
        <w:spacing w:line="360" w:lineRule="auto"/>
        <w:rPr>
          <w:sz w:val="22"/>
          <w14:ligatures w14:val="standardContextual"/>
        </w:rPr>
      </w:pPr>
      <w:r>
        <w:fldChar w:fldCharType="begin"/>
      </w:r>
      <w:r>
        <w:instrText xml:space="preserve"> HYPERLINK \l "_Toc221113258" </w:instrText>
      </w:r>
      <w:r>
        <w:fldChar w:fldCharType="separate"/>
      </w:r>
      <w:r>
        <w:rPr>
          <w:rStyle w:val="12"/>
          <w:rFonts w:hint="eastAsia"/>
        </w:rPr>
        <w:t>2.2.2.2. 前后端分离与开放生态</w:t>
      </w:r>
      <w:r>
        <w:rPr>
          <w:rFonts w:hint="eastAsia"/>
        </w:rPr>
        <w:tab/>
      </w:r>
      <w:r>
        <w:rPr>
          <w:rFonts w:hint="eastAsia"/>
        </w:rPr>
        <w:fldChar w:fldCharType="begin"/>
      </w:r>
      <w:r>
        <w:rPr>
          <w:rFonts w:hint="eastAsia"/>
        </w:rPr>
        <w:instrText xml:space="preserve"> </w:instrText>
      </w:r>
      <w:r>
        <w:instrText xml:space="preserve">PAGEREF _Toc221113258 \h</w:instrText>
      </w:r>
      <w:r>
        <w:rPr>
          <w:rFonts w:hint="eastAsia"/>
        </w:rPr>
        <w:instrText xml:space="preserve"> </w:instrText>
      </w:r>
      <w:r>
        <w:rPr>
          <w:rFonts w:hint="eastAsia"/>
        </w:rPr>
        <w:fldChar w:fldCharType="separate"/>
      </w:r>
      <w:r>
        <w:t>54</w:t>
      </w:r>
      <w:r>
        <w:rPr>
          <w:rFonts w:hint="eastAsia"/>
        </w:rPr>
        <w:fldChar w:fldCharType="end"/>
      </w:r>
      <w:r>
        <w:rPr>
          <w:rFonts w:hint="eastAsia"/>
        </w:rPr>
        <w:fldChar w:fldCharType="end"/>
      </w:r>
    </w:p>
    <w:p w14:paraId="4516FE1A">
      <w:pPr>
        <w:pStyle w:val="7"/>
        <w:tabs>
          <w:tab w:val="right" w:leader="dot" w:pos="8296"/>
        </w:tabs>
        <w:spacing w:line="360" w:lineRule="auto"/>
        <w:rPr>
          <w:sz w:val="22"/>
          <w14:ligatures w14:val="standardContextual"/>
        </w:rPr>
      </w:pPr>
      <w:r>
        <w:fldChar w:fldCharType="begin"/>
      </w:r>
      <w:r>
        <w:instrText xml:space="preserve"> HYPERLINK \l "_Toc221113259" </w:instrText>
      </w:r>
      <w:r>
        <w:fldChar w:fldCharType="separate"/>
      </w:r>
      <w:r>
        <w:rPr>
          <w:rStyle w:val="12"/>
          <w:rFonts w:hint="eastAsia"/>
        </w:rPr>
        <w:t>2.2.2.3. 安全架构</w:t>
      </w:r>
      <w:r>
        <w:rPr>
          <w:rFonts w:hint="eastAsia"/>
        </w:rPr>
        <w:tab/>
      </w:r>
      <w:r>
        <w:rPr>
          <w:rFonts w:hint="eastAsia"/>
        </w:rPr>
        <w:fldChar w:fldCharType="begin"/>
      </w:r>
      <w:r>
        <w:rPr>
          <w:rFonts w:hint="eastAsia"/>
        </w:rPr>
        <w:instrText xml:space="preserve"> </w:instrText>
      </w:r>
      <w:r>
        <w:instrText xml:space="preserve">PAGEREF _Toc221113259 \h</w:instrText>
      </w:r>
      <w:r>
        <w:rPr>
          <w:rFonts w:hint="eastAsia"/>
        </w:rPr>
        <w:instrText xml:space="preserve"> </w:instrText>
      </w:r>
      <w:r>
        <w:rPr>
          <w:rFonts w:hint="eastAsia"/>
        </w:rPr>
        <w:fldChar w:fldCharType="separate"/>
      </w:r>
      <w:r>
        <w:t>55</w:t>
      </w:r>
      <w:r>
        <w:rPr>
          <w:rFonts w:hint="eastAsia"/>
        </w:rPr>
        <w:fldChar w:fldCharType="end"/>
      </w:r>
      <w:r>
        <w:rPr>
          <w:rFonts w:hint="eastAsia"/>
        </w:rPr>
        <w:fldChar w:fldCharType="end"/>
      </w:r>
    </w:p>
    <w:p w14:paraId="1E1F091C">
      <w:pPr>
        <w:pStyle w:val="8"/>
        <w:tabs>
          <w:tab w:val="right" w:leader="dot" w:pos="8296"/>
        </w:tabs>
        <w:spacing w:line="360" w:lineRule="auto"/>
        <w:rPr>
          <w:sz w:val="22"/>
          <w14:ligatures w14:val="standardContextual"/>
        </w:rPr>
      </w:pPr>
      <w:r>
        <w:fldChar w:fldCharType="begin"/>
      </w:r>
      <w:r>
        <w:instrText xml:space="preserve"> HYPERLINK \l "_Toc221113260" </w:instrText>
      </w:r>
      <w:r>
        <w:fldChar w:fldCharType="separate"/>
      </w:r>
      <w:r>
        <w:rPr>
          <w:rStyle w:val="12"/>
          <w:rFonts w:hint="eastAsia"/>
        </w:rPr>
        <w:t>2.3. 平台核心模块设计</w:t>
      </w:r>
      <w:r>
        <w:rPr>
          <w:rFonts w:hint="eastAsia"/>
        </w:rPr>
        <w:tab/>
      </w:r>
      <w:r>
        <w:rPr>
          <w:rFonts w:hint="eastAsia"/>
        </w:rPr>
        <w:fldChar w:fldCharType="begin"/>
      </w:r>
      <w:r>
        <w:rPr>
          <w:rFonts w:hint="eastAsia"/>
        </w:rPr>
        <w:instrText xml:space="preserve"> </w:instrText>
      </w:r>
      <w:r>
        <w:instrText xml:space="preserve">PAGEREF _Toc221113260 \h</w:instrText>
      </w:r>
      <w:r>
        <w:rPr>
          <w:rFonts w:hint="eastAsia"/>
        </w:rPr>
        <w:instrText xml:space="preserve"> </w:instrText>
      </w:r>
      <w:r>
        <w:rPr>
          <w:rFonts w:hint="eastAsia"/>
        </w:rPr>
        <w:fldChar w:fldCharType="separate"/>
      </w:r>
      <w:r>
        <w:t>58</w:t>
      </w:r>
      <w:r>
        <w:rPr>
          <w:rFonts w:hint="eastAsia"/>
        </w:rPr>
        <w:fldChar w:fldCharType="end"/>
      </w:r>
      <w:r>
        <w:rPr>
          <w:rFonts w:hint="eastAsia"/>
        </w:rPr>
        <w:fldChar w:fldCharType="end"/>
      </w:r>
    </w:p>
    <w:p w14:paraId="27AD2C99">
      <w:pPr>
        <w:pStyle w:val="3"/>
        <w:tabs>
          <w:tab w:val="right" w:leader="dot" w:pos="8296"/>
        </w:tabs>
        <w:spacing w:line="360" w:lineRule="auto"/>
        <w:rPr>
          <w:sz w:val="22"/>
          <w14:ligatures w14:val="standardContextual"/>
        </w:rPr>
      </w:pPr>
      <w:r>
        <w:fldChar w:fldCharType="begin"/>
      </w:r>
      <w:r>
        <w:instrText xml:space="preserve"> HYPERLINK \l "_Toc221113261" </w:instrText>
      </w:r>
      <w:r>
        <w:fldChar w:fldCharType="separate"/>
      </w:r>
      <w:r>
        <w:rPr>
          <w:rStyle w:val="12"/>
          <w:rFonts w:hint="eastAsia"/>
        </w:rPr>
        <w:t>2.3.1. 数据湖管理模块</w:t>
      </w:r>
      <w:r>
        <w:rPr>
          <w:rFonts w:hint="eastAsia"/>
        </w:rPr>
        <w:tab/>
      </w:r>
      <w:r>
        <w:rPr>
          <w:rFonts w:hint="eastAsia"/>
        </w:rPr>
        <w:fldChar w:fldCharType="begin"/>
      </w:r>
      <w:r>
        <w:rPr>
          <w:rFonts w:hint="eastAsia"/>
        </w:rPr>
        <w:instrText xml:space="preserve"> </w:instrText>
      </w:r>
      <w:r>
        <w:instrText xml:space="preserve">PAGEREF _Toc221113261 \h</w:instrText>
      </w:r>
      <w:r>
        <w:rPr>
          <w:rFonts w:hint="eastAsia"/>
        </w:rPr>
        <w:instrText xml:space="preserve"> </w:instrText>
      </w:r>
      <w:r>
        <w:rPr>
          <w:rFonts w:hint="eastAsia"/>
        </w:rPr>
        <w:fldChar w:fldCharType="separate"/>
      </w:r>
      <w:r>
        <w:t>58</w:t>
      </w:r>
      <w:r>
        <w:rPr>
          <w:rFonts w:hint="eastAsia"/>
        </w:rPr>
        <w:fldChar w:fldCharType="end"/>
      </w:r>
      <w:r>
        <w:rPr>
          <w:rFonts w:hint="eastAsia"/>
        </w:rPr>
        <w:fldChar w:fldCharType="end"/>
      </w:r>
    </w:p>
    <w:p w14:paraId="3994B09D">
      <w:pPr>
        <w:pStyle w:val="3"/>
        <w:tabs>
          <w:tab w:val="right" w:leader="dot" w:pos="8296"/>
        </w:tabs>
        <w:spacing w:line="360" w:lineRule="auto"/>
        <w:rPr>
          <w:sz w:val="22"/>
          <w14:ligatures w14:val="standardContextual"/>
        </w:rPr>
      </w:pPr>
      <w:r>
        <w:fldChar w:fldCharType="begin"/>
      </w:r>
      <w:r>
        <w:instrText xml:space="preserve"> HYPERLINK \l "_Toc221113262" </w:instrText>
      </w:r>
      <w:r>
        <w:fldChar w:fldCharType="separate"/>
      </w:r>
      <w:r>
        <w:rPr>
          <w:rStyle w:val="12"/>
          <w:rFonts w:hint="eastAsia"/>
        </w:rPr>
        <w:t>2.3.2. AI引擎管理模块</w:t>
      </w:r>
      <w:r>
        <w:rPr>
          <w:rFonts w:hint="eastAsia"/>
        </w:rPr>
        <w:tab/>
      </w:r>
      <w:r>
        <w:rPr>
          <w:rFonts w:hint="eastAsia"/>
        </w:rPr>
        <w:fldChar w:fldCharType="begin"/>
      </w:r>
      <w:r>
        <w:rPr>
          <w:rFonts w:hint="eastAsia"/>
        </w:rPr>
        <w:instrText xml:space="preserve"> </w:instrText>
      </w:r>
      <w:r>
        <w:instrText xml:space="preserve">PAGEREF _Toc221113262 \h</w:instrText>
      </w:r>
      <w:r>
        <w:rPr>
          <w:rFonts w:hint="eastAsia"/>
        </w:rPr>
        <w:instrText xml:space="preserve"> </w:instrText>
      </w:r>
      <w:r>
        <w:rPr>
          <w:rFonts w:hint="eastAsia"/>
        </w:rPr>
        <w:fldChar w:fldCharType="separate"/>
      </w:r>
      <w:r>
        <w:t>61</w:t>
      </w:r>
      <w:r>
        <w:rPr>
          <w:rFonts w:hint="eastAsia"/>
        </w:rPr>
        <w:fldChar w:fldCharType="end"/>
      </w:r>
      <w:r>
        <w:rPr>
          <w:rFonts w:hint="eastAsia"/>
        </w:rPr>
        <w:fldChar w:fldCharType="end"/>
      </w:r>
    </w:p>
    <w:p w14:paraId="1848585F">
      <w:pPr>
        <w:pStyle w:val="3"/>
        <w:tabs>
          <w:tab w:val="right" w:leader="dot" w:pos="8296"/>
        </w:tabs>
        <w:spacing w:line="360" w:lineRule="auto"/>
        <w:rPr>
          <w:sz w:val="22"/>
          <w14:ligatures w14:val="standardContextual"/>
        </w:rPr>
      </w:pPr>
      <w:r>
        <w:fldChar w:fldCharType="begin"/>
      </w:r>
      <w:r>
        <w:instrText xml:space="preserve"> HYPERLINK \l "_Toc221113263" </w:instrText>
      </w:r>
      <w:r>
        <w:fldChar w:fldCharType="separate"/>
      </w:r>
      <w:r>
        <w:rPr>
          <w:rStyle w:val="12"/>
          <w:rFonts w:hint="eastAsia"/>
        </w:rPr>
        <w:t>2.3.3. 知识库管理模块</w:t>
      </w:r>
      <w:r>
        <w:rPr>
          <w:rFonts w:hint="eastAsia"/>
        </w:rPr>
        <w:tab/>
      </w:r>
      <w:r>
        <w:rPr>
          <w:rFonts w:hint="eastAsia"/>
        </w:rPr>
        <w:fldChar w:fldCharType="begin"/>
      </w:r>
      <w:r>
        <w:rPr>
          <w:rFonts w:hint="eastAsia"/>
        </w:rPr>
        <w:instrText xml:space="preserve"> </w:instrText>
      </w:r>
      <w:r>
        <w:instrText xml:space="preserve">PAGEREF _Toc221113263 \h</w:instrText>
      </w:r>
      <w:r>
        <w:rPr>
          <w:rFonts w:hint="eastAsia"/>
        </w:rPr>
        <w:instrText xml:space="preserve"> </w:instrText>
      </w:r>
      <w:r>
        <w:rPr>
          <w:rFonts w:hint="eastAsia"/>
        </w:rPr>
        <w:fldChar w:fldCharType="separate"/>
      </w:r>
      <w:r>
        <w:t>63</w:t>
      </w:r>
      <w:r>
        <w:rPr>
          <w:rFonts w:hint="eastAsia"/>
        </w:rPr>
        <w:fldChar w:fldCharType="end"/>
      </w:r>
      <w:r>
        <w:rPr>
          <w:rFonts w:hint="eastAsia"/>
        </w:rPr>
        <w:fldChar w:fldCharType="end"/>
      </w:r>
    </w:p>
    <w:p w14:paraId="2A72E61E">
      <w:pPr>
        <w:pStyle w:val="3"/>
        <w:tabs>
          <w:tab w:val="right" w:leader="dot" w:pos="8296"/>
        </w:tabs>
        <w:spacing w:line="360" w:lineRule="auto"/>
        <w:rPr>
          <w:sz w:val="22"/>
          <w14:ligatures w14:val="standardContextual"/>
        </w:rPr>
      </w:pPr>
      <w:r>
        <w:fldChar w:fldCharType="begin"/>
      </w:r>
      <w:r>
        <w:instrText xml:space="preserve"> HYPERLINK \l "_Toc221113264" </w:instrText>
      </w:r>
      <w:r>
        <w:fldChar w:fldCharType="separate"/>
      </w:r>
      <w:r>
        <w:rPr>
          <w:rStyle w:val="12"/>
          <w:rFonts w:hint="eastAsia"/>
        </w:rPr>
        <w:t>2.3.4. AI应用开发模块</w:t>
      </w:r>
      <w:r>
        <w:rPr>
          <w:rFonts w:hint="eastAsia"/>
        </w:rPr>
        <w:tab/>
      </w:r>
      <w:r>
        <w:rPr>
          <w:rFonts w:hint="eastAsia"/>
        </w:rPr>
        <w:fldChar w:fldCharType="begin"/>
      </w:r>
      <w:r>
        <w:rPr>
          <w:rFonts w:hint="eastAsia"/>
        </w:rPr>
        <w:instrText xml:space="preserve"> </w:instrText>
      </w:r>
      <w:r>
        <w:instrText xml:space="preserve">PAGEREF _Toc221113264 \h</w:instrText>
      </w:r>
      <w:r>
        <w:rPr>
          <w:rFonts w:hint="eastAsia"/>
        </w:rPr>
        <w:instrText xml:space="preserve"> </w:instrText>
      </w:r>
      <w:r>
        <w:rPr>
          <w:rFonts w:hint="eastAsia"/>
        </w:rPr>
        <w:fldChar w:fldCharType="separate"/>
      </w:r>
      <w:r>
        <w:t>64</w:t>
      </w:r>
      <w:r>
        <w:rPr>
          <w:rFonts w:hint="eastAsia"/>
        </w:rPr>
        <w:fldChar w:fldCharType="end"/>
      </w:r>
      <w:r>
        <w:rPr>
          <w:rFonts w:hint="eastAsia"/>
        </w:rPr>
        <w:fldChar w:fldCharType="end"/>
      </w:r>
    </w:p>
    <w:p w14:paraId="14F2C9D1">
      <w:pPr>
        <w:pStyle w:val="3"/>
        <w:tabs>
          <w:tab w:val="right" w:leader="dot" w:pos="8296"/>
        </w:tabs>
        <w:spacing w:line="360" w:lineRule="auto"/>
        <w:rPr>
          <w:sz w:val="22"/>
          <w14:ligatures w14:val="standardContextual"/>
        </w:rPr>
      </w:pPr>
      <w:r>
        <w:fldChar w:fldCharType="begin"/>
      </w:r>
      <w:r>
        <w:instrText xml:space="preserve"> HYPERLINK \l "_Toc221113265" </w:instrText>
      </w:r>
      <w:r>
        <w:fldChar w:fldCharType="separate"/>
      </w:r>
      <w:r>
        <w:rPr>
          <w:rStyle w:val="12"/>
          <w:rFonts w:hint="eastAsia"/>
        </w:rPr>
        <w:t>2.3.5. 模型与算力管理模块</w:t>
      </w:r>
      <w:r>
        <w:rPr>
          <w:rFonts w:hint="eastAsia"/>
        </w:rPr>
        <w:tab/>
      </w:r>
      <w:r>
        <w:rPr>
          <w:rFonts w:hint="eastAsia"/>
        </w:rPr>
        <w:fldChar w:fldCharType="begin"/>
      </w:r>
      <w:r>
        <w:rPr>
          <w:rFonts w:hint="eastAsia"/>
        </w:rPr>
        <w:instrText xml:space="preserve"> </w:instrText>
      </w:r>
      <w:r>
        <w:instrText xml:space="preserve">PAGEREF _Toc221113265 \h</w:instrText>
      </w:r>
      <w:r>
        <w:rPr>
          <w:rFonts w:hint="eastAsia"/>
        </w:rPr>
        <w:instrText xml:space="preserve"> </w:instrText>
      </w:r>
      <w:r>
        <w:rPr>
          <w:rFonts w:hint="eastAsia"/>
        </w:rPr>
        <w:fldChar w:fldCharType="separate"/>
      </w:r>
      <w:r>
        <w:t>67</w:t>
      </w:r>
      <w:r>
        <w:rPr>
          <w:rFonts w:hint="eastAsia"/>
        </w:rPr>
        <w:fldChar w:fldCharType="end"/>
      </w:r>
      <w:r>
        <w:rPr>
          <w:rFonts w:hint="eastAsia"/>
        </w:rPr>
        <w:fldChar w:fldCharType="end"/>
      </w:r>
    </w:p>
    <w:p w14:paraId="41352441">
      <w:pPr>
        <w:pStyle w:val="8"/>
        <w:tabs>
          <w:tab w:val="right" w:leader="dot" w:pos="8296"/>
        </w:tabs>
        <w:spacing w:line="360" w:lineRule="auto"/>
        <w:rPr>
          <w:sz w:val="22"/>
          <w14:ligatures w14:val="standardContextual"/>
        </w:rPr>
      </w:pPr>
      <w:r>
        <w:fldChar w:fldCharType="begin"/>
      </w:r>
      <w:r>
        <w:instrText xml:space="preserve"> HYPERLINK \l "_Toc221113266" </w:instrText>
      </w:r>
      <w:r>
        <w:fldChar w:fldCharType="separate"/>
      </w:r>
      <w:r>
        <w:rPr>
          <w:rStyle w:val="12"/>
          <w:rFonts w:hint="eastAsia"/>
        </w:rPr>
        <w:t>2.4. 系统集成与扩展设计</w:t>
      </w:r>
      <w:r>
        <w:rPr>
          <w:rFonts w:hint="eastAsia"/>
        </w:rPr>
        <w:tab/>
      </w:r>
      <w:r>
        <w:rPr>
          <w:rFonts w:hint="eastAsia"/>
        </w:rPr>
        <w:fldChar w:fldCharType="begin"/>
      </w:r>
      <w:r>
        <w:rPr>
          <w:rFonts w:hint="eastAsia"/>
        </w:rPr>
        <w:instrText xml:space="preserve"> </w:instrText>
      </w:r>
      <w:r>
        <w:instrText xml:space="preserve">PAGEREF _Toc221113266 \h</w:instrText>
      </w:r>
      <w:r>
        <w:rPr>
          <w:rFonts w:hint="eastAsia"/>
        </w:rPr>
        <w:instrText xml:space="preserve"> </w:instrText>
      </w:r>
      <w:r>
        <w:rPr>
          <w:rFonts w:hint="eastAsia"/>
        </w:rPr>
        <w:fldChar w:fldCharType="separate"/>
      </w:r>
      <w:r>
        <w:t>69</w:t>
      </w:r>
      <w:r>
        <w:rPr>
          <w:rFonts w:hint="eastAsia"/>
        </w:rPr>
        <w:fldChar w:fldCharType="end"/>
      </w:r>
      <w:r>
        <w:rPr>
          <w:rFonts w:hint="eastAsia"/>
        </w:rPr>
        <w:fldChar w:fldCharType="end"/>
      </w:r>
    </w:p>
    <w:p w14:paraId="2EBC9679">
      <w:pPr>
        <w:pStyle w:val="3"/>
        <w:tabs>
          <w:tab w:val="right" w:leader="dot" w:pos="8296"/>
        </w:tabs>
        <w:spacing w:line="360" w:lineRule="auto"/>
        <w:rPr>
          <w:sz w:val="22"/>
          <w14:ligatures w14:val="standardContextual"/>
        </w:rPr>
      </w:pPr>
      <w:r>
        <w:fldChar w:fldCharType="begin"/>
      </w:r>
      <w:r>
        <w:instrText xml:space="preserve"> HYPERLINK \l "_Toc221113267" </w:instrText>
      </w:r>
      <w:r>
        <w:fldChar w:fldCharType="separate"/>
      </w:r>
      <w:r>
        <w:rPr>
          <w:rStyle w:val="12"/>
          <w:rFonts w:hint="eastAsia"/>
        </w:rPr>
        <w:t>2.4.1. 与校本数据中心的深度集成</w:t>
      </w:r>
      <w:r>
        <w:rPr>
          <w:rFonts w:hint="eastAsia"/>
        </w:rPr>
        <w:tab/>
      </w:r>
      <w:r>
        <w:rPr>
          <w:rFonts w:hint="eastAsia"/>
        </w:rPr>
        <w:fldChar w:fldCharType="begin"/>
      </w:r>
      <w:r>
        <w:rPr>
          <w:rFonts w:hint="eastAsia"/>
        </w:rPr>
        <w:instrText xml:space="preserve"> </w:instrText>
      </w:r>
      <w:r>
        <w:instrText xml:space="preserve">PAGEREF _Toc221113267 \h</w:instrText>
      </w:r>
      <w:r>
        <w:rPr>
          <w:rFonts w:hint="eastAsia"/>
        </w:rPr>
        <w:instrText xml:space="preserve"> </w:instrText>
      </w:r>
      <w:r>
        <w:rPr>
          <w:rFonts w:hint="eastAsia"/>
        </w:rPr>
        <w:fldChar w:fldCharType="separate"/>
      </w:r>
      <w:r>
        <w:t>69</w:t>
      </w:r>
      <w:r>
        <w:rPr>
          <w:rFonts w:hint="eastAsia"/>
        </w:rPr>
        <w:fldChar w:fldCharType="end"/>
      </w:r>
      <w:r>
        <w:rPr>
          <w:rFonts w:hint="eastAsia"/>
        </w:rPr>
        <w:fldChar w:fldCharType="end"/>
      </w:r>
    </w:p>
    <w:p w14:paraId="13E57707">
      <w:pPr>
        <w:pStyle w:val="3"/>
        <w:tabs>
          <w:tab w:val="right" w:leader="dot" w:pos="8296"/>
        </w:tabs>
        <w:spacing w:line="360" w:lineRule="auto"/>
        <w:rPr>
          <w:sz w:val="22"/>
          <w14:ligatures w14:val="standardContextual"/>
        </w:rPr>
      </w:pPr>
      <w:r>
        <w:fldChar w:fldCharType="begin"/>
      </w:r>
      <w:r>
        <w:instrText xml:space="preserve"> HYPERLINK \l "_Toc221113268" </w:instrText>
      </w:r>
      <w:r>
        <w:fldChar w:fldCharType="separate"/>
      </w:r>
      <w:r>
        <w:rPr>
          <w:rStyle w:val="12"/>
          <w:rFonts w:hint="eastAsia"/>
        </w:rPr>
        <w:t>2.4.2. 与智慧校园平台的融合集成</w:t>
      </w:r>
      <w:r>
        <w:rPr>
          <w:rFonts w:hint="eastAsia"/>
        </w:rPr>
        <w:tab/>
      </w:r>
      <w:r>
        <w:rPr>
          <w:rFonts w:hint="eastAsia"/>
        </w:rPr>
        <w:fldChar w:fldCharType="begin"/>
      </w:r>
      <w:r>
        <w:rPr>
          <w:rFonts w:hint="eastAsia"/>
        </w:rPr>
        <w:instrText xml:space="preserve"> </w:instrText>
      </w:r>
      <w:r>
        <w:instrText xml:space="preserve">PAGEREF _Toc221113268 \h</w:instrText>
      </w:r>
      <w:r>
        <w:rPr>
          <w:rFonts w:hint="eastAsia"/>
        </w:rPr>
        <w:instrText xml:space="preserve"> </w:instrText>
      </w:r>
      <w:r>
        <w:rPr>
          <w:rFonts w:hint="eastAsia"/>
        </w:rPr>
        <w:fldChar w:fldCharType="separate"/>
      </w:r>
      <w:r>
        <w:t>71</w:t>
      </w:r>
      <w:r>
        <w:rPr>
          <w:rFonts w:hint="eastAsia"/>
        </w:rPr>
        <w:fldChar w:fldCharType="end"/>
      </w:r>
      <w:r>
        <w:rPr>
          <w:rFonts w:hint="eastAsia"/>
        </w:rPr>
        <w:fldChar w:fldCharType="end"/>
      </w:r>
    </w:p>
    <w:p w14:paraId="6513FD90">
      <w:pPr>
        <w:pStyle w:val="3"/>
        <w:tabs>
          <w:tab w:val="right" w:leader="dot" w:pos="8296"/>
        </w:tabs>
        <w:spacing w:line="360" w:lineRule="auto"/>
        <w:rPr>
          <w:sz w:val="22"/>
          <w14:ligatures w14:val="standardContextual"/>
        </w:rPr>
      </w:pPr>
      <w:r>
        <w:fldChar w:fldCharType="begin"/>
      </w:r>
      <w:r>
        <w:instrText xml:space="preserve"> HYPERLINK \l "_Toc221113269" </w:instrText>
      </w:r>
      <w:r>
        <w:fldChar w:fldCharType="separate"/>
      </w:r>
      <w:r>
        <w:rPr>
          <w:rStyle w:val="12"/>
          <w:rFonts w:hint="eastAsia"/>
        </w:rPr>
        <w:t>2.4.3. 开放API体系与生态构建</w:t>
      </w:r>
      <w:r>
        <w:rPr>
          <w:rFonts w:hint="eastAsia"/>
        </w:rPr>
        <w:tab/>
      </w:r>
      <w:r>
        <w:rPr>
          <w:rFonts w:hint="eastAsia"/>
        </w:rPr>
        <w:fldChar w:fldCharType="begin"/>
      </w:r>
      <w:r>
        <w:rPr>
          <w:rFonts w:hint="eastAsia"/>
        </w:rPr>
        <w:instrText xml:space="preserve"> </w:instrText>
      </w:r>
      <w:r>
        <w:instrText xml:space="preserve">PAGEREF _Toc221113269 \h</w:instrText>
      </w:r>
      <w:r>
        <w:rPr>
          <w:rFonts w:hint="eastAsia"/>
        </w:rPr>
        <w:instrText xml:space="preserve"> </w:instrText>
      </w:r>
      <w:r>
        <w:rPr>
          <w:rFonts w:hint="eastAsia"/>
        </w:rPr>
        <w:fldChar w:fldCharType="separate"/>
      </w:r>
      <w:r>
        <w:t>72</w:t>
      </w:r>
      <w:r>
        <w:rPr>
          <w:rFonts w:hint="eastAsia"/>
        </w:rPr>
        <w:fldChar w:fldCharType="end"/>
      </w:r>
      <w:r>
        <w:rPr>
          <w:rFonts w:hint="eastAsia"/>
        </w:rPr>
        <w:fldChar w:fldCharType="end"/>
      </w:r>
    </w:p>
    <w:p w14:paraId="4AF37C17">
      <w:pPr>
        <w:pStyle w:val="3"/>
        <w:tabs>
          <w:tab w:val="right" w:leader="dot" w:pos="8296"/>
        </w:tabs>
        <w:spacing w:line="360" w:lineRule="auto"/>
        <w:rPr>
          <w:sz w:val="22"/>
          <w14:ligatures w14:val="standardContextual"/>
        </w:rPr>
      </w:pPr>
      <w:r>
        <w:fldChar w:fldCharType="begin"/>
      </w:r>
      <w:r>
        <w:instrText xml:space="preserve"> HYPERLINK \l "_Toc221113270" </w:instrText>
      </w:r>
      <w:r>
        <w:fldChar w:fldCharType="separate"/>
      </w:r>
      <w:r>
        <w:rPr>
          <w:rStyle w:val="12"/>
          <w:rFonts w:hint="eastAsia"/>
        </w:rPr>
        <w:t>2.4.4. 插件化扩展与模块化升级架构</w:t>
      </w:r>
      <w:r>
        <w:rPr>
          <w:rFonts w:hint="eastAsia"/>
        </w:rPr>
        <w:tab/>
      </w:r>
      <w:r>
        <w:rPr>
          <w:rFonts w:hint="eastAsia"/>
        </w:rPr>
        <w:fldChar w:fldCharType="begin"/>
      </w:r>
      <w:r>
        <w:rPr>
          <w:rFonts w:hint="eastAsia"/>
        </w:rPr>
        <w:instrText xml:space="preserve"> </w:instrText>
      </w:r>
      <w:r>
        <w:instrText xml:space="preserve">PAGEREF _Toc221113270 \h</w:instrText>
      </w:r>
      <w:r>
        <w:rPr>
          <w:rFonts w:hint="eastAsia"/>
        </w:rPr>
        <w:instrText xml:space="preserve"> </w:instrText>
      </w:r>
      <w:r>
        <w:rPr>
          <w:rFonts w:hint="eastAsia"/>
        </w:rPr>
        <w:fldChar w:fldCharType="separate"/>
      </w:r>
      <w:r>
        <w:t>73</w:t>
      </w:r>
      <w:r>
        <w:rPr>
          <w:rFonts w:hint="eastAsia"/>
        </w:rPr>
        <w:fldChar w:fldCharType="end"/>
      </w:r>
      <w:r>
        <w:rPr>
          <w:rFonts w:hint="eastAsia"/>
        </w:rPr>
        <w:fldChar w:fldCharType="end"/>
      </w:r>
    </w:p>
    <w:p w14:paraId="79EC6514">
      <w:pPr>
        <w:pStyle w:val="8"/>
        <w:tabs>
          <w:tab w:val="right" w:leader="dot" w:pos="8296"/>
        </w:tabs>
        <w:spacing w:line="360" w:lineRule="auto"/>
        <w:rPr>
          <w:sz w:val="22"/>
          <w14:ligatures w14:val="standardContextual"/>
        </w:rPr>
      </w:pPr>
      <w:r>
        <w:fldChar w:fldCharType="begin"/>
      </w:r>
      <w:r>
        <w:instrText xml:space="preserve"> HYPERLINK \l "_Toc221113271" </w:instrText>
      </w:r>
      <w:r>
        <w:fldChar w:fldCharType="separate"/>
      </w:r>
      <w:r>
        <w:rPr>
          <w:rStyle w:val="12"/>
          <w:rFonts w:hint="eastAsia"/>
        </w:rPr>
        <w:t>2.5. 安全与运维保障设计</w:t>
      </w:r>
      <w:r>
        <w:rPr>
          <w:rFonts w:hint="eastAsia"/>
        </w:rPr>
        <w:tab/>
      </w:r>
      <w:r>
        <w:rPr>
          <w:rFonts w:hint="eastAsia"/>
        </w:rPr>
        <w:fldChar w:fldCharType="begin"/>
      </w:r>
      <w:r>
        <w:rPr>
          <w:rFonts w:hint="eastAsia"/>
        </w:rPr>
        <w:instrText xml:space="preserve"> </w:instrText>
      </w:r>
      <w:r>
        <w:instrText xml:space="preserve">PAGEREF _Toc221113271 \h</w:instrText>
      </w:r>
      <w:r>
        <w:rPr>
          <w:rFonts w:hint="eastAsia"/>
        </w:rPr>
        <w:instrText xml:space="preserve"> </w:instrText>
      </w:r>
      <w:r>
        <w:rPr>
          <w:rFonts w:hint="eastAsia"/>
        </w:rPr>
        <w:fldChar w:fldCharType="separate"/>
      </w:r>
      <w:r>
        <w:t>76</w:t>
      </w:r>
      <w:r>
        <w:rPr>
          <w:rFonts w:hint="eastAsia"/>
        </w:rPr>
        <w:fldChar w:fldCharType="end"/>
      </w:r>
      <w:r>
        <w:rPr>
          <w:rFonts w:hint="eastAsia"/>
        </w:rPr>
        <w:fldChar w:fldCharType="end"/>
      </w:r>
    </w:p>
    <w:p w14:paraId="7CEEB197">
      <w:pPr>
        <w:pStyle w:val="3"/>
        <w:tabs>
          <w:tab w:val="right" w:leader="dot" w:pos="8296"/>
        </w:tabs>
        <w:spacing w:line="360" w:lineRule="auto"/>
        <w:rPr>
          <w:sz w:val="22"/>
          <w14:ligatures w14:val="standardContextual"/>
        </w:rPr>
      </w:pPr>
      <w:r>
        <w:fldChar w:fldCharType="begin"/>
      </w:r>
      <w:r>
        <w:instrText xml:space="preserve"> HYPERLINK \l "_Toc221113272" </w:instrText>
      </w:r>
      <w:r>
        <w:fldChar w:fldCharType="separate"/>
      </w:r>
      <w:r>
        <w:rPr>
          <w:rStyle w:val="12"/>
          <w:rFonts w:hint="eastAsia"/>
        </w:rPr>
        <w:t>2.5.1. 纵深防御与零信任数据安全体系</w:t>
      </w:r>
      <w:r>
        <w:rPr>
          <w:rFonts w:hint="eastAsia"/>
        </w:rPr>
        <w:tab/>
      </w:r>
      <w:r>
        <w:rPr>
          <w:rFonts w:hint="eastAsia"/>
        </w:rPr>
        <w:fldChar w:fldCharType="begin"/>
      </w:r>
      <w:r>
        <w:rPr>
          <w:rFonts w:hint="eastAsia"/>
        </w:rPr>
        <w:instrText xml:space="preserve"> </w:instrText>
      </w:r>
      <w:r>
        <w:instrText xml:space="preserve">PAGEREF _Toc221113272 \h</w:instrText>
      </w:r>
      <w:r>
        <w:rPr>
          <w:rFonts w:hint="eastAsia"/>
        </w:rPr>
        <w:instrText xml:space="preserve"> </w:instrText>
      </w:r>
      <w:r>
        <w:rPr>
          <w:rFonts w:hint="eastAsia"/>
        </w:rPr>
        <w:fldChar w:fldCharType="separate"/>
      </w:r>
      <w:r>
        <w:t>77</w:t>
      </w:r>
      <w:r>
        <w:rPr>
          <w:rFonts w:hint="eastAsia"/>
        </w:rPr>
        <w:fldChar w:fldCharType="end"/>
      </w:r>
      <w:r>
        <w:rPr>
          <w:rFonts w:hint="eastAsia"/>
        </w:rPr>
        <w:fldChar w:fldCharType="end"/>
      </w:r>
    </w:p>
    <w:p w14:paraId="6C1FDB79">
      <w:pPr>
        <w:pStyle w:val="3"/>
        <w:tabs>
          <w:tab w:val="right" w:leader="dot" w:pos="8296"/>
        </w:tabs>
        <w:spacing w:line="360" w:lineRule="auto"/>
        <w:rPr>
          <w:sz w:val="22"/>
          <w14:ligatures w14:val="standardContextual"/>
        </w:rPr>
      </w:pPr>
      <w:r>
        <w:fldChar w:fldCharType="begin"/>
      </w:r>
      <w:r>
        <w:instrText xml:space="preserve"> HYPERLINK \l "_Toc221113273" </w:instrText>
      </w:r>
      <w:r>
        <w:fldChar w:fldCharType="separate"/>
      </w:r>
      <w:r>
        <w:rPr>
          <w:rStyle w:val="12"/>
          <w:rFonts w:hint="eastAsia"/>
        </w:rPr>
        <w:t>2.5.2. 主动式系统安全与弹性运行时防护</w:t>
      </w:r>
      <w:r>
        <w:rPr>
          <w:rFonts w:hint="eastAsia"/>
        </w:rPr>
        <w:tab/>
      </w:r>
      <w:r>
        <w:rPr>
          <w:rFonts w:hint="eastAsia"/>
        </w:rPr>
        <w:fldChar w:fldCharType="begin"/>
      </w:r>
      <w:r>
        <w:rPr>
          <w:rFonts w:hint="eastAsia"/>
        </w:rPr>
        <w:instrText xml:space="preserve"> </w:instrText>
      </w:r>
      <w:r>
        <w:instrText xml:space="preserve">PAGEREF _Toc221113273 \h</w:instrText>
      </w:r>
      <w:r>
        <w:rPr>
          <w:rFonts w:hint="eastAsia"/>
        </w:rPr>
        <w:instrText xml:space="preserve"> </w:instrText>
      </w:r>
      <w:r>
        <w:rPr>
          <w:rFonts w:hint="eastAsia"/>
        </w:rPr>
        <w:fldChar w:fldCharType="separate"/>
      </w:r>
      <w:r>
        <w:t>79</w:t>
      </w:r>
      <w:r>
        <w:rPr>
          <w:rFonts w:hint="eastAsia"/>
        </w:rPr>
        <w:fldChar w:fldCharType="end"/>
      </w:r>
      <w:r>
        <w:rPr>
          <w:rFonts w:hint="eastAsia"/>
        </w:rPr>
        <w:fldChar w:fldCharType="end"/>
      </w:r>
    </w:p>
    <w:p w14:paraId="1D33A745">
      <w:pPr>
        <w:pStyle w:val="3"/>
        <w:tabs>
          <w:tab w:val="right" w:leader="dot" w:pos="8296"/>
        </w:tabs>
        <w:spacing w:line="360" w:lineRule="auto"/>
        <w:rPr>
          <w:sz w:val="22"/>
          <w14:ligatures w14:val="standardContextual"/>
        </w:rPr>
      </w:pPr>
      <w:r>
        <w:fldChar w:fldCharType="begin"/>
      </w:r>
      <w:r>
        <w:instrText xml:space="preserve"> HYPERLINK \l "_Toc221113274" </w:instrText>
      </w:r>
      <w:r>
        <w:fldChar w:fldCharType="separate"/>
      </w:r>
      <w:r>
        <w:rPr>
          <w:rStyle w:val="12"/>
          <w:rFonts w:hint="eastAsia"/>
        </w:rPr>
        <w:t>2.5.3. 基于CNCF可观测性栈的智能运维</w:t>
      </w:r>
      <w:r>
        <w:rPr>
          <w:rFonts w:hint="eastAsia"/>
        </w:rPr>
        <w:tab/>
      </w:r>
      <w:r>
        <w:rPr>
          <w:rFonts w:hint="eastAsia"/>
        </w:rPr>
        <w:fldChar w:fldCharType="begin"/>
      </w:r>
      <w:r>
        <w:rPr>
          <w:rFonts w:hint="eastAsia"/>
        </w:rPr>
        <w:instrText xml:space="preserve"> </w:instrText>
      </w:r>
      <w:r>
        <w:instrText xml:space="preserve">PAGEREF _Toc221113274 \h</w:instrText>
      </w:r>
      <w:r>
        <w:rPr>
          <w:rFonts w:hint="eastAsia"/>
        </w:rPr>
        <w:instrText xml:space="preserve"> </w:instrText>
      </w:r>
      <w:r>
        <w:rPr>
          <w:rFonts w:hint="eastAsia"/>
        </w:rPr>
        <w:fldChar w:fldCharType="separate"/>
      </w:r>
      <w:r>
        <w:t>81</w:t>
      </w:r>
      <w:r>
        <w:rPr>
          <w:rFonts w:hint="eastAsia"/>
        </w:rPr>
        <w:fldChar w:fldCharType="end"/>
      </w:r>
      <w:r>
        <w:rPr>
          <w:rFonts w:hint="eastAsia"/>
        </w:rPr>
        <w:fldChar w:fldCharType="end"/>
      </w:r>
    </w:p>
    <w:p w14:paraId="61A4D4B6">
      <w:pPr>
        <w:pStyle w:val="3"/>
        <w:tabs>
          <w:tab w:val="right" w:leader="dot" w:pos="8296"/>
        </w:tabs>
        <w:spacing w:line="360" w:lineRule="auto"/>
        <w:rPr>
          <w:sz w:val="22"/>
          <w14:ligatures w14:val="standardContextual"/>
        </w:rPr>
      </w:pPr>
      <w:r>
        <w:fldChar w:fldCharType="begin"/>
      </w:r>
      <w:r>
        <w:instrText xml:space="preserve"> HYPERLINK \l "_Toc221113275" </w:instrText>
      </w:r>
      <w:r>
        <w:fldChar w:fldCharType="separate"/>
      </w:r>
      <w:r>
        <w:rPr>
          <w:rStyle w:val="12"/>
          <w:rFonts w:hint="eastAsia"/>
        </w:rPr>
        <w:t>2.5.4. 持续性安全运维与合规审计</w:t>
      </w:r>
      <w:r>
        <w:rPr>
          <w:rFonts w:hint="eastAsia"/>
        </w:rPr>
        <w:tab/>
      </w:r>
      <w:r>
        <w:rPr>
          <w:rFonts w:hint="eastAsia"/>
        </w:rPr>
        <w:fldChar w:fldCharType="begin"/>
      </w:r>
      <w:r>
        <w:rPr>
          <w:rFonts w:hint="eastAsia"/>
        </w:rPr>
        <w:instrText xml:space="preserve"> </w:instrText>
      </w:r>
      <w:r>
        <w:instrText xml:space="preserve">PAGEREF _Toc221113275 \h</w:instrText>
      </w:r>
      <w:r>
        <w:rPr>
          <w:rFonts w:hint="eastAsia"/>
        </w:rPr>
        <w:instrText xml:space="preserve"> </w:instrText>
      </w:r>
      <w:r>
        <w:rPr>
          <w:rFonts w:hint="eastAsia"/>
        </w:rPr>
        <w:fldChar w:fldCharType="separate"/>
      </w:r>
      <w:r>
        <w:t>82</w:t>
      </w:r>
      <w:r>
        <w:rPr>
          <w:rFonts w:hint="eastAsia"/>
        </w:rPr>
        <w:fldChar w:fldCharType="end"/>
      </w:r>
      <w:r>
        <w:rPr>
          <w:rFonts w:hint="eastAsia"/>
        </w:rPr>
        <w:fldChar w:fldCharType="end"/>
      </w:r>
    </w:p>
    <w:p w14:paraId="0B81315F">
      <w:pPr>
        <w:pStyle w:val="8"/>
        <w:tabs>
          <w:tab w:val="right" w:leader="dot" w:pos="8296"/>
        </w:tabs>
        <w:spacing w:line="360" w:lineRule="auto"/>
        <w:rPr>
          <w:sz w:val="22"/>
          <w14:ligatures w14:val="standardContextual"/>
        </w:rPr>
      </w:pPr>
      <w:r>
        <w:fldChar w:fldCharType="begin"/>
      </w:r>
      <w:r>
        <w:instrText xml:space="preserve"> HYPERLINK \l "_Toc221113276" </w:instrText>
      </w:r>
      <w:r>
        <w:fldChar w:fldCharType="separate"/>
      </w:r>
      <w:r>
        <w:rPr>
          <w:rStyle w:val="12"/>
          <w:rFonts w:hint="eastAsia"/>
        </w:rPr>
        <w:t>2.6. 标准化与合规性设计</w:t>
      </w:r>
      <w:r>
        <w:rPr>
          <w:rFonts w:hint="eastAsia"/>
        </w:rPr>
        <w:tab/>
      </w:r>
      <w:r>
        <w:rPr>
          <w:rFonts w:hint="eastAsia"/>
        </w:rPr>
        <w:fldChar w:fldCharType="begin"/>
      </w:r>
      <w:r>
        <w:rPr>
          <w:rFonts w:hint="eastAsia"/>
        </w:rPr>
        <w:instrText xml:space="preserve"> </w:instrText>
      </w:r>
      <w:r>
        <w:instrText xml:space="preserve">PAGEREF _Toc221113276 \h</w:instrText>
      </w:r>
      <w:r>
        <w:rPr>
          <w:rFonts w:hint="eastAsia"/>
        </w:rPr>
        <w:instrText xml:space="preserve"> </w:instrText>
      </w:r>
      <w:r>
        <w:rPr>
          <w:rFonts w:hint="eastAsia"/>
        </w:rPr>
        <w:fldChar w:fldCharType="separate"/>
      </w:r>
      <w:r>
        <w:t>84</w:t>
      </w:r>
      <w:r>
        <w:rPr>
          <w:rFonts w:hint="eastAsia"/>
        </w:rPr>
        <w:fldChar w:fldCharType="end"/>
      </w:r>
      <w:r>
        <w:rPr>
          <w:rFonts w:hint="eastAsia"/>
        </w:rPr>
        <w:fldChar w:fldCharType="end"/>
      </w:r>
    </w:p>
    <w:p w14:paraId="764FC886">
      <w:pPr>
        <w:pStyle w:val="3"/>
        <w:tabs>
          <w:tab w:val="right" w:leader="dot" w:pos="8296"/>
        </w:tabs>
        <w:spacing w:line="360" w:lineRule="auto"/>
        <w:rPr>
          <w:sz w:val="22"/>
          <w14:ligatures w14:val="standardContextual"/>
        </w:rPr>
      </w:pPr>
      <w:r>
        <w:fldChar w:fldCharType="begin"/>
      </w:r>
      <w:r>
        <w:instrText xml:space="preserve"> HYPERLINK \l "_Toc221113277" </w:instrText>
      </w:r>
      <w:r>
        <w:fldChar w:fldCharType="separate"/>
      </w:r>
      <w:r>
        <w:rPr>
          <w:rStyle w:val="12"/>
          <w:rFonts w:hint="eastAsia"/>
        </w:rPr>
        <w:t>2.6.1. 多层次标准化体系构建</w:t>
      </w:r>
      <w:r>
        <w:rPr>
          <w:rFonts w:hint="eastAsia"/>
        </w:rPr>
        <w:tab/>
      </w:r>
      <w:r>
        <w:rPr>
          <w:rFonts w:hint="eastAsia"/>
        </w:rPr>
        <w:fldChar w:fldCharType="begin"/>
      </w:r>
      <w:r>
        <w:rPr>
          <w:rFonts w:hint="eastAsia"/>
        </w:rPr>
        <w:instrText xml:space="preserve"> </w:instrText>
      </w:r>
      <w:r>
        <w:instrText xml:space="preserve">PAGEREF _Toc221113277 \h</w:instrText>
      </w:r>
      <w:r>
        <w:rPr>
          <w:rFonts w:hint="eastAsia"/>
        </w:rPr>
        <w:instrText xml:space="preserve"> </w:instrText>
      </w:r>
      <w:r>
        <w:rPr>
          <w:rFonts w:hint="eastAsia"/>
        </w:rPr>
        <w:fldChar w:fldCharType="separate"/>
      </w:r>
      <w:r>
        <w:t>85</w:t>
      </w:r>
      <w:r>
        <w:rPr>
          <w:rFonts w:hint="eastAsia"/>
        </w:rPr>
        <w:fldChar w:fldCharType="end"/>
      </w:r>
      <w:r>
        <w:rPr>
          <w:rFonts w:hint="eastAsia"/>
        </w:rPr>
        <w:fldChar w:fldCharType="end"/>
      </w:r>
    </w:p>
    <w:p w14:paraId="6DCCB3AA">
      <w:pPr>
        <w:pStyle w:val="3"/>
        <w:tabs>
          <w:tab w:val="right" w:leader="dot" w:pos="8296"/>
        </w:tabs>
        <w:spacing w:line="360" w:lineRule="auto"/>
        <w:rPr>
          <w:sz w:val="22"/>
          <w14:ligatures w14:val="standardContextual"/>
        </w:rPr>
      </w:pPr>
      <w:r>
        <w:fldChar w:fldCharType="begin"/>
      </w:r>
      <w:r>
        <w:instrText xml:space="preserve"> HYPERLINK \l "_Toc221113278" </w:instrText>
      </w:r>
      <w:r>
        <w:fldChar w:fldCharType="separate"/>
      </w:r>
      <w:r>
        <w:rPr>
          <w:rStyle w:val="12"/>
          <w:rFonts w:hint="eastAsia"/>
        </w:rPr>
        <w:t>2.6.2. 嵌入式合规性检查与审计</w:t>
      </w:r>
      <w:r>
        <w:rPr>
          <w:rFonts w:hint="eastAsia"/>
        </w:rPr>
        <w:tab/>
      </w:r>
      <w:r>
        <w:rPr>
          <w:rFonts w:hint="eastAsia"/>
        </w:rPr>
        <w:fldChar w:fldCharType="begin"/>
      </w:r>
      <w:r>
        <w:rPr>
          <w:rFonts w:hint="eastAsia"/>
        </w:rPr>
        <w:instrText xml:space="preserve"> </w:instrText>
      </w:r>
      <w:r>
        <w:instrText xml:space="preserve">PAGEREF _Toc221113278 \h</w:instrText>
      </w:r>
      <w:r>
        <w:rPr>
          <w:rFonts w:hint="eastAsia"/>
        </w:rPr>
        <w:instrText xml:space="preserve"> </w:instrText>
      </w:r>
      <w:r>
        <w:rPr>
          <w:rFonts w:hint="eastAsia"/>
        </w:rPr>
        <w:fldChar w:fldCharType="separate"/>
      </w:r>
      <w:r>
        <w:t>87</w:t>
      </w:r>
      <w:r>
        <w:rPr>
          <w:rFonts w:hint="eastAsia"/>
        </w:rPr>
        <w:fldChar w:fldCharType="end"/>
      </w:r>
      <w:r>
        <w:rPr>
          <w:rFonts w:hint="eastAsia"/>
        </w:rPr>
        <w:fldChar w:fldCharType="end"/>
      </w:r>
    </w:p>
    <w:p w14:paraId="61156BAE">
      <w:pPr>
        <w:pStyle w:val="3"/>
        <w:tabs>
          <w:tab w:val="right" w:leader="dot" w:pos="8296"/>
        </w:tabs>
        <w:spacing w:line="360" w:lineRule="auto"/>
        <w:rPr>
          <w:sz w:val="22"/>
          <w14:ligatures w14:val="standardContextual"/>
        </w:rPr>
      </w:pPr>
      <w:r>
        <w:fldChar w:fldCharType="begin"/>
      </w:r>
      <w:r>
        <w:instrText xml:space="preserve"> HYPERLINK \l "_Toc221113279" </w:instrText>
      </w:r>
      <w:r>
        <w:fldChar w:fldCharType="separate"/>
      </w:r>
      <w:r>
        <w:rPr>
          <w:rStyle w:val="12"/>
          <w:rFonts w:hint="eastAsia"/>
        </w:rPr>
        <w:t>2.6.3. 标准化驱动的开放生态集成</w:t>
      </w:r>
      <w:r>
        <w:rPr>
          <w:rFonts w:hint="eastAsia"/>
        </w:rPr>
        <w:tab/>
      </w:r>
      <w:r>
        <w:rPr>
          <w:rFonts w:hint="eastAsia"/>
        </w:rPr>
        <w:fldChar w:fldCharType="begin"/>
      </w:r>
      <w:r>
        <w:rPr>
          <w:rFonts w:hint="eastAsia"/>
        </w:rPr>
        <w:instrText xml:space="preserve"> </w:instrText>
      </w:r>
      <w:r>
        <w:instrText xml:space="preserve">PAGEREF _Toc221113279 \h</w:instrText>
      </w:r>
      <w:r>
        <w:rPr>
          <w:rFonts w:hint="eastAsia"/>
        </w:rPr>
        <w:instrText xml:space="preserve"> </w:instrText>
      </w:r>
      <w:r>
        <w:rPr>
          <w:rFonts w:hint="eastAsia"/>
        </w:rPr>
        <w:fldChar w:fldCharType="separate"/>
      </w:r>
      <w:r>
        <w:t>89</w:t>
      </w:r>
      <w:r>
        <w:rPr>
          <w:rFonts w:hint="eastAsia"/>
        </w:rPr>
        <w:fldChar w:fldCharType="end"/>
      </w:r>
      <w:r>
        <w:rPr>
          <w:rFonts w:hint="eastAsia"/>
        </w:rPr>
        <w:fldChar w:fldCharType="end"/>
      </w:r>
    </w:p>
    <w:p w14:paraId="0DD0D3D9">
      <w:pPr>
        <w:pStyle w:val="6"/>
        <w:tabs>
          <w:tab w:val="right" w:leader="dot" w:pos="8296"/>
        </w:tabs>
        <w:spacing w:line="360" w:lineRule="auto"/>
        <w:rPr>
          <w:sz w:val="22"/>
          <w14:ligatures w14:val="standardContextual"/>
        </w:rPr>
      </w:pPr>
      <w:r>
        <w:fldChar w:fldCharType="begin"/>
      </w:r>
      <w:r>
        <w:instrText xml:space="preserve"> HYPERLINK \l "_Toc221113280" </w:instrText>
      </w:r>
      <w:r>
        <w:fldChar w:fldCharType="separate"/>
      </w:r>
      <w:r>
        <w:rPr>
          <w:rStyle w:val="12"/>
          <w:rFonts w:hint="eastAsia"/>
        </w:rPr>
        <w:t>3. 项目实施计划方案总体结构</w:t>
      </w:r>
      <w:r>
        <w:rPr>
          <w:rFonts w:hint="eastAsia"/>
        </w:rPr>
        <w:tab/>
      </w:r>
      <w:r>
        <w:rPr>
          <w:rFonts w:hint="eastAsia"/>
        </w:rPr>
        <w:fldChar w:fldCharType="begin"/>
      </w:r>
      <w:r>
        <w:rPr>
          <w:rFonts w:hint="eastAsia"/>
        </w:rPr>
        <w:instrText xml:space="preserve"> </w:instrText>
      </w:r>
      <w:r>
        <w:instrText xml:space="preserve">PAGEREF _Toc221113280 \h</w:instrText>
      </w:r>
      <w:r>
        <w:rPr>
          <w:rFonts w:hint="eastAsia"/>
        </w:rPr>
        <w:instrText xml:space="preserve"> </w:instrText>
      </w:r>
      <w:r>
        <w:rPr>
          <w:rFonts w:hint="eastAsia"/>
        </w:rPr>
        <w:fldChar w:fldCharType="separate"/>
      </w:r>
      <w:r>
        <w:t>92</w:t>
      </w:r>
      <w:r>
        <w:rPr>
          <w:rFonts w:hint="eastAsia"/>
        </w:rPr>
        <w:fldChar w:fldCharType="end"/>
      </w:r>
      <w:r>
        <w:rPr>
          <w:rFonts w:hint="eastAsia"/>
        </w:rPr>
        <w:fldChar w:fldCharType="end"/>
      </w:r>
    </w:p>
    <w:p w14:paraId="1F5BD2F2">
      <w:pPr>
        <w:pStyle w:val="8"/>
        <w:tabs>
          <w:tab w:val="right" w:leader="dot" w:pos="8296"/>
        </w:tabs>
        <w:spacing w:line="360" w:lineRule="auto"/>
        <w:rPr>
          <w:sz w:val="22"/>
          <w14:ligatures w14:val="standardContextual"/>
        </w:rPr>
      </w:pPr>
      <w:r>
        <w:fldChar w:fldCharType="begin"/>
      </w:r>
      <w:r>
        <w:instrText xml:space="preserve"> HYPERLINK \l "_Toc221113281" </w:instrText>
      </w:r>
      <w:r>
        <w:fldChar w:fldCharType="separate"/>
      </w:r>
      <w:r>
        <w:rPr>
          <w:rStyle w:val="12"/>
          <w:rFonts w:hint="eastAsia"/>
        </w:rPr>
        <w:t>3.1. 项目总体策略与原则</w:t>
      </w:r>
      <w:r>
        <w:rPr>
          <w:rFonts w:hint="eastAsia"/>
        </w:rPr>
        <w:tab/>
      </w:r>
      <w:r>
        <w:rPr>
          <w:rFonts w:hint="eastAsia"/>
        </w:rPr>
        <w:fldChar w:fldCharType="begin"/>
      </w:r>
      <w:r>
        <w:rPr>
          <w:rFonts w:hint="eastAsia"/>
        </w:rPr>
        <w:instrText xml:space="preserve"> </w:instrText>
      </w:r>
      <w:r>
        <w:instrText xml:space="preserve">PAGEREF _Toc221113281 \h</w:instrText>
      </w:r>
      <w:r>
        <w:rPr>
          <w:rFonts w:hint="eastAsia"/>
        </w:rPr>
        <w:instrText xml:space="preserve"> </w:instrText>
      </w:r>
      <w:r>
        <w:rPr>
          <w:rFonts w:hint="eastAsia"/>
        </w:rPr>
        <w:fldChar w:fldCharType="separate"/>
      </w:r>
      <w:r>
        <w:t>92</w:t>
      </w:r>
      <w:r>
        <w:rPr>
          <w:rFonts w:hint="eastAsia"/>
        </w:rPr>
        <w:fldChar w:fldCharType="end"/>
      </w:r>
      <w:r>
        <w:rPr>
          <w:rFonts w:hint="eastAsia"/>
        </w:rPr>
        <w:fldChar w:fldCharType="end"/>
      </w:r>
    </w:p>
    <w:p w14:paraId="20B860B6">
      <w:pPr>
        <w:pStyle w:val="3"/>
        <w:tabs>
          <w:tab w:val="right" w:leader="dot" w:pos="8296"/>
        </w:tabs>
        <w:spacing w:line="360" w:lineRule="auto"/>
        <w:rPr>
          <w:sz w:val="22"/>
          <w14:ligatures w14:val="standardContextual"/>
        </w:rPr>
      </w:pPr>
      <w:r>
        <w:fldChar w:fldCharType="begin"/>
      </w:r>
      <w:r>
        <w:instrText xml:space="preserve"> HYPERLINK \l "_Toc221113282" </w:instrText>
      </w:r>
      <w:r>
        <w:fldChar w:fldCharType="separate"/>
      </w:r>
      <w:r>
        <w:rPr>
          <w:rStyle w:val="12"/>
          <w:rFonts w:hint="eastAsia"/>
        </w:rPr>
        <w:t>3.1.1. 敏捷并行实施原则</w:t>
      </w:r>
      <w:r>
        <w:rPr>
          <w:rFonts w:hint="eastAsia"/>
        </w:rPr>
        <w:tab/>
      </w:r>
      <w:r>
        <w:rPr>
          <w:rFonts w:hint="eastAsia"/>
        </w:rPr>
        <w:fldChar w:fldCharType="begin"/>
      </w:r>
      <w:r>
        <w:rPr>
          <w:rFonts w:hint="eastAsia"/>
        </w:rPr>
        <w:instrText xml:space="preserve"> </w:instrText>
      </w:r>
      <w:r>
        <w:instrText xml:space="preserve">PAGEREF _Toc221113282 \h</w:instrText>
      </w:r>
      <w:r>
        <w:rPr>
          <w:rFonts w:hint="eastAsia"/>
        </w:rPr>
        <w:instrText xml:space="preserve"> </w:instrText>
      </w:r>
      <w:r>
        <w:rPr>
          <w:rFonts w:hint="eastAsia"/>
        </w:rPr>
        <w:fldChar w:fldCharType="separate"/>
      </w:r>
      <w:r>
        <w:t>92</w:t>
      </w:r>
      <w:r>
        <w:rPr>
          <w:rFonts w:hint="eastAsia"/>
        </w:rPr>
        <w:fldChar w:fldCharType="end"/>
      </w:r>
      <w:r>
        <w:rPr>
          <w:rFonts w:hint="eastAsia"/>
        </w:rPr>
        <w:fldChar w:fldCharType="end"/>
      </w:r>
    </w:p>
    <w:p w14:paraId="5C62F4F1">
      <w:pPr>
        <w:pStyle w:val="7"/>
        <w:tabs>
          <w:tab w:val="right" w:leader="dot" w:pos="8296"/>
        </w:tabs>
        <w:spacing w:line="360" w:lineRule="auto"/>
        <w:rPr>
          <w:sz w:val="22"/>
          <w14:ligatures w14:val="standardContextual"/>
        </w:rPr>
      </w:pPr>
      <w:r>
        <w:fldChar w:fldCharType="begin"/>
      </w:r>
      <w:r>
        <w:instrText xml:space="preserve"> HYPERLINK \l "_Toc221113283" </w:instrText>
      </w:r>
      <w:r>
        <w:fldChar w:fldCharType="separate"/>
      </w:r>
      <w:r>
        <w:rPr>
          <w:rStyle w:val="12"/>
          <w:rFonts w:hint="eastAsia"/>
        </w:rPr>
        <w:t>3.1.1.1. 以特性模块为中心的并行工程管理</w:t>
      </w:r>
      <w:r>
        <w:rPr>
          <w:rFonts w:hint="eastAsia"/>
        </w:rPr>
        <w:tab/>
      </w:r>
      <w:r>
        <w:rPr>
          <w:rFonts w:hint="eastAsia"/>
        </w:rPr>
        <w:fldChar w:fldCharType="begin"/>
      </w:r>
      <w:r>
        <w:rPr>
          <w:rFonts w:hint="eastAsia"/>
        </w:rPr>
        <w:instrText xml:space="preserve"> </w:instrText>
      </w:r>
      <w:r>
        <w:instrText xml:space="preserve">PAGEREF _Toc221113283 \h</w:instrText>
      </w:r>
      <w:r>
        <w:rPr>
          <w:rFonts w:hint="eastAsia"/>
        </w:rPr>
        <w:instrText xml:space="preserve"> </w:instrText>
      </w:r>
      <w:r>
        <w:rPr>
          <w:rFonts w:hint="eastAsia"/>
        </w:rPr>
        <w:fldChar w:fldCharType="separate"/>
      </w:r>
      <w:r>
        <w:t>93</w:t>
      </w:r>
      <w:r>
        <w:rPr>
          <w:rFonts w:hint="eastAsia"/>
        </w:rPr>
        <w:fldChar w:fldCharType="end"/>
      </w:r>
      <w:r>
        <w:rPr>
          <w:rFonts w:hint="eastAsia"/>
        </w:rPr>
        <w:fldChar w:fldCharType="end"/>
      </w:r>
    </w:p>
    <w:p w14:paraId="5B5B9EAF">
      <w:pPr>
        <w:pStyle w:val="7"/>
        <w:tabs>
          <w:tab w:val="right" w:leader="dot" w:pos="8296"/>
        </w:tabs>
        <w:spacing w:line="360" w:lineRule="auto"/>
        <w:rPr>
          <w:sz w:val="22"/>
          <w14:ligatures w14:val="standardContextual"/>
        </w:rPr>
      </w:pPr>
      <w:r>
        <w:fldChar w:fldCharType="begin"/>
      </w:r>
      <w:r>
        <w:instrText xml:space="preserve"> HYPERLINK \l "_Toc221113284" </w:instrText>
      </w:r>
      <w:r>
        <w:fldChar w:fldCharType="separate"/>
      </w:r>
      <w:r>
        <w:rPr>
          <w:rStyle w:val="12"/>
          <w:rFonts w:hint="eastAsia"/>
        </w:rPr>
        <w:t>3.1.1.2. 基于短周期迭代的渐进式交付</w:t>
      </w:r>
      <w:r>
        <w:rPr>
          <w:rFonts w:hint="eastAsia"/>
        </w:rPr>
        <w:tab/>
      </w:r>
      <w:r>
        <w:rPr>
          <w:rFonts w:hint="eastAsia"/>
        </w:rPr>
        <w:fldChar w:fldCharType="begin"/>
      </w:r>
      <w:r>
        <w:rPr>
          <w:rFonts w:hint="eastAsia"/>
        </w:rPr>
        <w:instrText xml:space="preserve"> </w:instrText>
      </w:r>
      <w:r>
        <w:instrText xml:space="preserve">PAGEREF _Toc221113284 \h</w:instrText>
      </w:r>
      <w:r>
        <w:rPr>
          <w:rFonts w:hint="eastAsia"/>
        </w:rPr>
        <w:instrText xml:space="preserve"> </w:instrText>
      </w:r>
      <w:r>
        <w:rPr>
          <w:rFonts w:hint="eastAsia"/>
        </w:rPr>
        <w:fldChar w:fldCharType="separate"/>
      </w:r>
      <w:r>
        <w:t>95</w:t>
      </w:r>
      <w:r>
        <w:rPr>
          <w:rFonts w:hint="eastAsia"/>
        </w:rPr>
        <w:fldChar w:fldCharType="end"/>
      </w:r>
      <w:r>
        <w:rPr>
          <w:rFonts w:hint="eastAsia"/>
        </w:rPr>
        <w:fldChar w:fldCharType="end"/>
      </w:r>
    </w:p>
    <w:p w14:paraId="64E3974F">
      <w:pPr>
        <w:pStyle w:val="7"/>
        <w:tabs>
          <w:tab w:val="right" w:leader="dot" w:pos="8296"/>
        </w:tabs>
        <w:spacing w:line="360" w:lineRule="auto"/>
        <w:rPr>
          <w:sz w:val="22"/>
          <w14:ligatures w14:val="standardContextual"/>
        </w:rPr>
      </w:pPr>
      <w:r>
        <w:fldChar w:fldCharType="begin"/>
      </w:r>
      <w:r>
        <w:instrText xml:space="preserve"> HYPERLINK \l "_Toc221113285" </w:instrText>
      </w:r>
      <w:r>
        <w:fldChar w:fldCharType="separate"/>
      </w:r>
      <w:r>
        <w:rPr>
          <w:rStyle w:val="12"/>
          <w:rFonts w:hint="eastAsia"/>
        </w:rPr>
        <w:t>3.1.1.3. 贯穿始终的持续集成与交付（CI/CD）实践</w:t>
      </w:r>
      <w:r>
        <w:rPr>
          <w:rFonts w:hint="eastAsia"/>
        </w:rPr>
        <w:tab/>
      </w:r>
      <w:r>
        <w:rPr>
          <w:rFonts w:hint="eastAsia"/>
        </w:rPr>
        <w:fldChar w:fldCharType="begin"/>
      </w:r>
      <w:r>
        <w:rPr>
          <w:rFonts w:hint="eastAsia"/>
        </w:rPr>
        <w:instrText xml:space="preserve"> </w:instrText>
      </w:r>
      <w:r>
        <w:instrText xml:space="preserve">PAGEREF _Toc221113285 \h</w:instrText>
      </w:r>
      <w:r>
        <w:rPr>
          <w:rFonts w:hint="eastAsia"/>
        </w:rPr>
        <w:instrText xml:space="preserve"> </w:instrText>
      </w:r>
      <w:r>
        <w:rPr>
          <w:rFonts w:hint="eastAsia"/>
        </w:rPr>
        <w:fldChar w:fldCharType="separate"/>
      </w:r>
      <w:r>
        <w:t>96</w:t>
      </w:r>
      <w:r>
        <w:rPr>
          <w:rFonts w:hint="eastAsia"/>
        </w:rPr>
        <w:fldChar w:fldCharType="end"/>
      </w:r>
      <w:r>
        <w:rPr>
          <w:rFonts w:hint="eastAsia"/>
        </w:rPr>
        <w:fldChar w:fldCharType="end"/>
      </w:r>
    </w:p>
    <w:p w14:paraId="0A309595">
      <w:pPr>
        <w:pStyle w:val="3"/>
        <w:tabs>
          <w:tab w:val="right" w:leader="dot" w:pos="8296"/>
        </w:tabs>
        <w:spacing w:line="360" w:lineRule="auto"/>
        <w:rPr>
          <w:sz w:val="22"/>
          <w14:ligatures w14:val="standardContextual"/>
        </w:rPr>
      </w:pPr>
      <w:r>
        <w:fldChar w:fldCharType="begin"/>
      </w:r>
      <w:r>
        <w:instrText xml:space="preserve"> HYPERLINK \l "_Toc221113286" </w:instrText>
      </w:r>
      <w:r>
        <w:fldChar w:fldCharType="separate"/>
      </w:r>
      <w:r>
        <w:rPr>
          <w:rStyle w:val="12"/>
          <w:rFonts w:hint="eastAsia"/>
        </w:rPr>
        <w:t>3.1.2. 核心功能优先交付原则</w:t>
      </w:r>
      <w:r>
        <w:rPr>
          <w:rFonts w:hint="eastAsia"/>
        </w:rPr>
        <w:tab/>
      </w:r>
      <w:r>
        <w:rPr>
          <w:rFonts w:hint="eastAsia"/>
        </w:rPr>
        <w:fldChar w:fldCharType="begin"/>
      </w:r>
      <w:r>
        <w:rPr>
          <w:rFonts w:hint="eastAsia"/>
        </w:rPr>
        <w:instrText xml:space="preserve"> </w:instrText>
      </w:r>
      <w:r>
        <w:instrText xml:space="preserve">PAGEREF _Toc221113286 \h</w:instrText>
      </w:r>
      <w:r>
        <w:rPr>
          <w:rFonts w:hint="eastAsia"/>
        </w:rPr>
        <w:instrText xml:space="preserve"> </w:instrText>
      </w:r>
      <w:r>
        <w:rPr>
          <w:rFonts w:hint="eastAsia"/>
        </w:rPr>
        <w:fldChar w:fldCharType="separate"/>
      </w:r>
      <w:r>
        <w:t>97</w:t>
      </w:r>
      <w:r>
        <w:rPr>
          <w:rFonts w:hint="eastAsia"/>
        </w:rPr>
        <w:fldChar w:fldCharType="end"/>
      </w:r>
      <w:r>
        <w:rPr>
          <w:rFonts w:hint="eastAsia"/>
        </w:rPr>
        <w:fldChar w:fldCharType="end"/>
      </w:r>
    </w:p>
    <w:p w14:paraId="04E72D7B">
      <w:pPr>
        <w:pStyle w:val="7"/>
        <w:tabs>
          <w:tab w:val="right" w:leader="dot" w:pos="8296"/>
        </w:tabs>
        <w:spacing w:line="360" w:lineRule="auto"/>
        <w:rPr>
          <w:sz w:val="22"/>
          <w14:ligatures w14:val="standardContextual"/>
        </w:rPr>
      </w:pPr>
      <w:r>
        <w:fldChar w:fldCharType="begin"/>
      </w:r>
      <w:r>
        <w:instrText xml:space="preserve"> HYPERLINK \l "_Toc221113287" </w:instrText>
      </w:r>
      <w:r>
        <w:fldChar w:fldCharType="separate"/>
      </w:r>
      <w:r>
        <w:rPr>
          <w:rStyle w:val="12"/>
          <w:rFonts w:hint="eastAsia"/>
        </w:rPr>
        <w:t>3.1.2.1. 基于业务价值与风险化解的价值功能识别与排序</w:t>
      </w:r>
      <w:r>
        <w:rPr>
          <w:rFonts w:hint="eastAsia"/>
        </w:rPr>
        <w:tab/>
      </w:r>
      <w:r>
        <w:rPr>
          <w:rFonts w:hint="eastAsia"/>
        </w:rPr>
        <w:fldChar w:fldCharType="begin"/>
      </w:r>
      <w:r>
        <w:rPr>
          <w:rFonts w:hint="eastAsia"/>
        </w:rPr>
        <w:instrText xml:space="preserve"> </w:instrText>
      </w:r>
      <w:r>
        <w:instrText xml:space="preserve">PAGEREF _Toc221113287 \h</w:instrText>
      </w:r>
      <w:r>
        <w:rPr>
          <w:rFonts w:hint="eastAsia"/>
        </w:rPr>
        <w:instrText xml:space="preserve"> </w:instrText>
      </w:r>
      <w:r>
        <w:rPr>
          <w:rFonts w:hint="eastAsia"/>
        </w:rPr>
        <w:fldChar w:fldCharType="separate"/>
      </w:r>
      <w:r>
        <w:t>97</w:t>
      </w:r>
      <w:r>
        <w:rPr>
          <w:rFonts w:hint="eastAsia"/>
        </w:rPr>
        <w:fldChar w:fldCharType="end"/>
      </w:r>
      <w:r>
        <w:rPr>
          <w:rFonts w:hint="eastAsia"/>
        </w:rPr>
        <w:fldChar w:fldCharType="end"/>
      </w:r>
    </w:p>
    <w:p w14:paraId="33C86B93">
      <w:pPr>
        <w:pStyle w:val="7"/>
        <w:tabs>
          <w:tab w:val="right" w:leader="dot" w:pos="8296"/>
        </w:tabs>
        <w:spacing w:line="360" w:lineRule="auto"/>
        <w:rPr>
          <w:sz w:val="22"/>
          <w14:ligatures w14:val="standardContextual"/>
        </w:rPr>
      </w:pPr>
      <w:r>
        <w:fldChar w:fldCharType="begin"/>
      </w:r>
      <w:r>
        <w:instrText xml:space="preserve"> HYPERLINK \l "_Toc221113288" </w:instrText>
      </w:r>
      <w:r>
        <w:fldChar w:fldCharType="separate"/>
      </w:r>
      <w:r>
        <w:rPr>
          <w:rStyle w:val="12"/>
          <w:rFonts w:hint="eastAsia"/>
        </w:rPr>
        <w:t>3.1.2.2. 以快速验证为导向的最小可行产品（MVP）迭代路径</w:t>
      </w:r>
      <w:r>
        <w:rPr>
          <w:rFonts w:hint="eastAsia"/>
        </w:rPr>
        <w:tab/>
      </w:r>
      <w:r>
        <w:rPr>
          <w:rFonts w:hint="eastAsia"/>
        </w:rPr>
        <w:fldChar w:fldCharType="begin"/>
      </w:r>
      <w:r>
        <w:rPr>
          <w:rFonts w:hint="eastAsia"/>
        </w:rPr>
        <w:instrText xml:space="preserve"> </w:instrText>
      </w:r>
      <w:r>
        <w:instrText xml:space="preserve">PAGEREF _Toc221113288 \h</w:instrText>
      </w:r>
      <w:r>
        <w:rPr>
          <w:rFonts w:hint="eastAsia"/>
        </w:rPr>
        <w:instrText xml:space="preserve"> </w:instrText>
      </w:r>
      <w:r>
        <w:rPr>
          <w:rFonts w:hint="eastAsia"/>
        </w:rPr>
        <w:fldChar w:fldCharType="separate"/>
      </w:r>
      <w:r>
        <w:t>100</w:t>
      </w:r>
      <w:r>
        <w:rPr>
          <w:rFonts w:hint="eastAsia"/>
        </w:rPr>
        <w:fldChar w:fldCharType="end"/>
      </w:r>
      <w:r>
        <w:rPr>
          <w:rFonts w:hint="eastAsia"/>
        </w:rPr>
        <w:fldChar w:fldCharType="end"/>
      </w:r>
    </w:p>
    <w:p w14:paraId="2AD3C078">
      <w:pPr>
        <w:pStyle w:val="7"/>
        <w:tabs>
          <w:tab w:val="right" w:leader="dot" w:pos="8296"/>
        </w:tabs>
        <w:spacing w:line="360" w:lineRule="auto"/>
        <w:rPr>
          <w:sz w:val="22"/>
          <w14:ligatures w14:val="standardContextual"/>
        </w:rPr>
      </w:pPr>
      <w:r>
        <w:fldChar w:fldCharType="begin"/>
      </w:r>
      <w:r>
        <w:instrText xml:space="preserve"> HYPERLINK \l "_Toc221113289" </w:instrText>
      </w:r>
      <w:r>
        <w:fldChar w:fldCharType="separate"/>
      </w:r>
      <w:r>
        <w:rPr>
          <w:rStyle w:val="12"/>
          <w:rFonts w:hint="eastAsia"/>
        </w:rPr>
        <w:t>3.1.2.3. 以演示成果为锚点的演示驱动开发</w:t>
      </w:r>
      <w:r>
        <w:rPr>
          <w:rFonts w:hint="eastAsia"/>
        </w:rPr>
        <w:tab/>
      </w:r>
      <w:r>
        <w:rPr>
          <w:rFonts w:hint="eastAsia"/>
        </w:rPr>
        <w:fldChar w:fldCharType="begin"/>
      </w:r>
      <w:r>
        <w:rPr>
          <w:rFonts w:hint="eastAsia"/>
        </w:rPr>
        <w:instrText xml:space="preserve"> </w:instrText>
      </w:r>
      <w:r>
        <w:instrText xml:space="preserve">PAGEREF _Toc221113289 \h</w:instrText>
      </w:r>
      <w:r>
        <w:rPr>
          <w:rFonts w:hint="eastAsia"/>
        </w:rPr>
        <w:instrText xml:space="preserve"> </w:instrText>
      </w:r>
      <w:r>
        <w:rPr>
          <w:rFonts w:hint="eastAsia"/>
        </w:rPr>
        <w:fldChar w:fldCharType="separate"/>
      </w:r>
      <w:r>
        <w:t>100</w:t>
      </w:r>
      <w:r>
        <w:rPr>
          <w:rFonts w:hint="eastAsia"/>
        </w:rPr>
        <w:fldChar w:fldCharType="end"/>
      </w:r>
      <w:r>
        <w:rPr>
          <w:rFonts w:hint="eastAsia"/>
        </w:rPr>
        <w:fldChar w:fldCharType="end"/>
      </w:r>
    </w:p>
    <w:p w14:paraId="188B7BCF">
      <w:pPr>
        <w:pStyle w:val="3"/>
        <w:tabs>
          <w:tab w:val="right" w:leader="dot" w:pos="8296"/>
        </w:tabs>
        <w:spacing w:line="360" w:lineRule="auto"/>
        <w:rPr>
          <w:sz w:val="22"/>
          <w14:ligatures w14:val="standardContextual"/>
        </w:rPr>
      </w:pPr>
      <w:r>
        <w:fldChar w:fldCharType="begin"/>
      </w:r>
      <w:r>
        <w:instrText xml:space="preserve"> HYPERLINK \l "_Toc221113290" </w:instrText>
      </w:r>
      <w:r>
        <w:fldChar w:fldCharType="separate"/>
      </w:r>
      <w:r>
        <w:rPr>
          <w:rStyle w:val="12"/>
          <w:rFonts w:hint="eastAsia"/>
        </w:rPr>
        <w:t>3.1.3. 风险前置管理原则</w:t>
      </w:r>
      <w:r>
        <w:rPr>
          <w:rFonts w:hint="eastAsia"/>
        </w:rPr>
        <w:tab/>
      </w:r>
      <w:r>
        <w:rPr>
          <w:rFonts w:hint="eastAsia"/>
        </w:rPr>
        <w:fldChar w:fldCharType="begin"/>
      </w:r>
      <w:r>
        <w:rPr>
          <w:rFonts w:hint="eastAsia"/>
        </w:rPr>
        <w:instrText xml:space="preserve"> </w:instrText>
      </w:r>
      <w:r>
        <w:instrText xml:space="preserve">PAGEREF _Toc221113290 \h</w:instrText>
      </w:r>
      <w:r>
        <w:rPr>
          <w:rFonts w:hint="eastAsia"/>
        </w:rPr>
        <w:instrText xml:space="preserve"> </w:instrText>
      </w:r>
      <w:r>
        <w:rPr>
          <w:rFonts w:hint="eastAsia"/>
        </w:rPr>
        <w:fldChar w:fldCharType="separate"/>
      </w:r>
      <w:r>
        <w:t>101</w:t>
      </w:r>
      <w:r>
        <w:rPr>
          <w:rFonts w:hint="eastAsia"/>
        </w:rPr>
        <w:fldChar w:fldCharType="end"/>
      </w:r>
      <w:r>
        <w:rPr>
          <w:rFonts w:hint="eastAsia"/>
        </w:rPr>
        <w:fldChar w:fldCharType="end"/>
      </w:r>
    </w:p>
    <w:p w14:paraId="3A19813A">
      <w:pPr>
        <w:pStyle w:val="7"/>
        <w:tabs>
          <w:tab w:val="right" w:leader="dot" w:pos="8296"/>
        </w:tabs>
        <w:spacing w:line="360" w:lineRule="auto"/>
        <w:rPr>
          <w:sz w:val="22"/>
          <w14:ligatures w14:val="standardContextual"/>
        </w:rPr>
      </w:pPr>
      <w:r>
        <w:fldChar w:fldCharType="begin"/>
      </w:r>
      <w:r>
        <w:instrText xml:space="preserve"> HYPERLINK \l "_Toc221113291" </w:instrText>
      </w:r>
      <w:r>
        <w:fldChar w:fldCharType="separate"/>
      </w:r>
      <w:r>
        <w:rPr>
          <w:rStyle w:val="12"/>
          <w:rFonts w:hint="eastAsia"/>
        </w:rPr>
        <w:t>3.1.3.1. 需求风险的系统性管控</w:t>
      </w:r>
      <w:r>
        <w:rPr>
          <w:rFonts w:hint="eastAsia"/>
        </w:rPr>
        <w:tab/>
      </w:r>
      <w:r>
        <w:rPr>
          <w:rFonts w:hint="eastAsia"/>
        </w:rPr>
        <w:fldChar w:fldCharType="begin"/>
      </w:r>
      <w:r>
        <w:rPr>
          <w:rFonts w:hint="eastAsia"/>
        </w:rPr>
        <w:instrText xml:space="preserve"> </w:instrText>
      </w:r>
      <w:r>
        <w:instrText xml:space="preserve">PAGEREF _Toc221113291 \h</w:instrText>
      </w:r>
      <w:r>
        <w:rPr>
          <w:rFonts w:hint="eastAsia"/>
        </w:rPr>
        <w:instrText xml:space="preserve"> </w:instrText>
      </w:r>
      <w:r>
        <w:rPr>
          <w:rFonts w:hint="eastAsia"/>
        </w:rPr>
        <w:fldChar w:fldCharType="separate"/>
      </w:r>
      <w:r>
        <w:t>102</w:t>
      </w:r>
      <w:r>
        <w:rPr>
          <w:rFonts w:hint="eastAsia"/>
        </w:rPr>
        <w:fldChar w:fldCharType="end"/>
      </w:r>
      <w:r>
        <w:rPr>
          <w:rFonts w:hint="eastAsia"/>
        </w:rPr>
        <w:fldChar w:fldCharType="end"/>
      </w:r>
    </w:p>
    <w:p w14:paraId="7F7F5D6A">
      <w:pPr>
        <w:pStyle w:val="7"/>
        <w:tabs>
          <w:tab w:val="right" w:leader="dot" w:pos="8296"/>
        </w:tabs>
        <w:spacing w:line="360" w:lineRule="auto"/>
        <w:rPr>
          <w:sz w:val="22"/>
          <w14:ligatures w14:val="standardContextual"/>
        </w:rPr>
      </w:pPr>
      <w:r>
        <w:fldChar w:fldCharType="begin"/>
      </w:r>
      <w:r>
        <w:instrText xml:space="preserve"> HYPERLINK \l "_Toc221113292" </w:instrText>
      </w:r>
      <w:r>
        <w:fldChar w:fldCharType="separate"/>
      </w:r>
      <w:r>
        <w:rPr>
          <w:rStyle w:val="12"/>
          <w:rFonts w:hint="eastAsia"/>
        </w:rPr>
        <w:t>3.1.3.2. 技术环境与集成风险的早期破解</w:t>
      </w:r>
      <w:r>
        <w:rPr>
          <w:rFonts w:hint="eastAsia"/>
        </w:rPr>
        <w:tab/>
      </w:r>
      <w:r>
        <w:rPr>
          <w:rFonts w:hint="eastAsia"/>
        </w:rPr>
        <w:fldChar w:fldCharType="begin"/>
      </w:r>
      <w:r>
        <w:rPr>
          <w:rFonts w:hint="eastAsia"/>
        </w:rPr>
        <w:instrText xml:space="preserve"> </w:instrText>
      </w:r>
      <w:r>
        <w:instrText xml:space="preserve">PAGEREF _Toc221113292 \h</w:instrText>
      </w:r>
      <w:r>
        <w:rPr>
          <w:rFonts w:hint="eastAsia"/>
        </w:rPr>
        <w:instrText xml:space="preserve"> </w:instrText>
      </w:r>
      <w:r>
        <w:rPr>
          <w:rFonts w:hint="eastAsia"/>
        </w:rPr>
        <w:fldChar w:fldCharType="separate"/>
      </w:r>
      <w:r>
        <w:t>105</w:t>
      </w:r>
      <w:r>
        <w:rPr>
          <w:rFonts w:hint="eastAsia"/>
        </w:rPr>
        <w:fldChar w:fldCharType="end"/>
      </w:r>
      <w:r>
        <w:rPr>
          <w:rFonts w:hint="eastAsia"/>
        </w:rPr>
        <w:fldChar w:fldCharType="end"/>
      </w:r>
    </w:p>
    <w:p w14:paraId="542FB96C">
      <w:pPr>
        <w:pStyle w:val="7"/>
        <w:tabs>
          <w:tab w:val="right" w:leader="dot" w:pos="8296"/>
        </w:tabs>
        <w:spacing w:line="360" w:lineRule="auto"/>
        <w:rPr>
          <w:sz w:val="22"/>
          <w14:ligatures w14:val="standardContextual"/>
        </w:rPr>
      </w:pPr>
      <w:r>
        <w:fldChar w:fldCharType="begin"/>
      </w:r>
      <w:r>
        <w:instrText xml:space="preserve"> HYPERLINK \l "_Toc221113293" </w:instrText>
      </w:r>
      <w:r>
        <w:fldChar w:fldCharType="separate"/>
      </w:r>
      <w:r>
        <w:rPr>
          <w:rStyle w:val="12"/>
          <w:rFonts w:hint="eastAsia"/>
        </w:rPr>
        <w:t>3.1.3.3. 数据质量与业务连续性的前瞻性保障</w:t>
      </w:r>
      <w:r>
        <w:rPr>
          <w:rFonts w:hint="eastAsia"/>
        </w:rPr>
        <w:tab/>
      </w:r>
      <w:r>
        <w:rPr>
          <w:rFonts w:hint="eastAsia"/>
        </w:rPr>
        <w:fldChar w:fldCharType="begin"/>
      </w:r>
      <w:r>
        <w:rPr>
          <w:rFonts w:hint="eastAsia"/>
        </w:rPr>
        <w:instrText xml:space="preserve"> </w:instrText>
      </w:r>
      <w:r>
        <w:instrText xml:space="preserve">PAGEREF _Toc221113293 \h</w:instrText>
      </w:r>
      <w:r>
        <w:rPr>
          <w:rFonts w:hint="eastAsia"/>
        </w:rPr>
        <w:instrText xml:space="preserve"> </w:instrText>
      </w:r>
      <w:r>
        <w:rPr>
          <w:rFonts w:hint="eastAsia"/>
        </w:rPr>
        <w:fldChar w:fldCharType="separate"/>
      </w:r>
      <w:r>
        <w:t>107</w:t>
      </w:r>
      <w:r>
        <w:rPr>
          <w:rFonts w:hint="eastAsia"/>
        </w:rPr>
        <w:fldChar w:fldCharType="end"/>
      </w:r>
      <w:r>
        <w:rPr>
          <w:rFonts w:hint="eastAsia"/>
        </w:rPr>
        <w:fldChar w:fldCharType="end"/>
      </w:r>
    </w:p>
    <w:p w14:paraId="45E93F46">
      <w:pPr>
        <w:pStyle w:val="8"/>
        <w:tabs>
          <w:tab w:val="right" w:leader="dot" w:pos="8296"/>
        </w:tabs>
        <w:spacing w:line="360" w:lineRule="auto"/>
        <w:rPr>
          <w:sz w:val="22"/>
          <w14:ligatures w14:val="standardContextual"/>
        </w:rPr>
      </w:pPr>
      <w:r>
        <w:fldChar w:fldCharType="begin"/>
      </w:r>
      <w:r>
        <w:instrText xml:space="preserve"> HYPERLINK \l "_Toc221113294" </w:instrText>
      </w:r>
      <w:r>
        <w:fldChar w:fldCharType="separate"/>
      </w:r>
      <w:r>
        <w:rPr>
          <w:rStyle w:val="12"/>
          <w:rFonts w:hint="eastAsia"/>
        </w:rPr>
        <w:t>3.2. 项目组织与资源保障</w:t>
      </w:r>
      <w:r>
        <w:rPr>
          <w:rFonts w:hint="eastAsia"/>
        </w:rPr>
        <w:tab/>
      </w:r>
      <w:r>
        <w:rPr>
          <w:rFonts w:hint="eastAsia"/>
        </w:rPr>
        <w:fldChar w:fldCharType="begin"/>
      </w:r>
      <w:r>
        <w:rPr>
          <w:rFonts w:hint="eastAsia"/>
        </w:rPr>
        <w:instrText xml:space="preserve"> </w:instrText>
      </w:r>
      <w:r>
        <w:instrText xml:space="preserve">PAGEREF _Toc221113294 \h</w:instrText>
      </w:r>
      <w:r>
        <w:rPr>
          <w:rFonts w:hint="eastAsia"/>
        </w:rPr>
        <w:instrText xml:space="preserve"> </w:instrText>
      </w:r>
      <w:r>
        <w:rPr>
          <w:rFonts w:hint="eastAsia"/>
        </w:rPr>
        <w:fldChar w:fldCharType="separate"/>
      </w:r>
      <w:r>
        <w:t>108</w:t>
      </w:r>
      <w:r>
        <w:rPr>
          <w:rFonts w:hint="eastAsia"/>
        </w:rPr>
        <w:fldChar w:fldCharType="end"/>
      </w:r>
      <w:r>
        <w:rPr>
          <w:rFonts w:hint="eastAsia"/>
        </w:rPr>
        <w:fldChar w:fldCharType="end"/>
      </w:r>
    </w:p>
    <w:p w14:paraId="202D2E82">
      <w:pPr>
        <w:pStyle w:val="3"/>
        <w:tabs>
          <w:tab w:val="right" w:leader="dot" w:pos="8296"/>
        </w:tabs>
        <w:spacing w:line="360" w:lineRule="auto"/>
        <w:rPr>
          <w:sz w:val="22"/>
          <w14:ligatures w14:val="standardContextual"/>
        </w:rPr>
      </w:pPr>
      <w:r>
        <w:fldChar w:fldCharType="begin"/>
      </w:r>
      <w:r>
        <w:instrText xml:space="preserve"> HYPERLINK \l "_Toc221113295" </w:instrText>
      </w:r>
      <w:r>
        <w:fldChar w:fldCharType="separate"/>
      </w:r>
      <w:r>
        <w:rPr>
          <w:rStyle w:val="12"/>
          <w:rFonts w:hint="eastAsia"/>
        </w:rPr>
        <w:t>3.2.1. “强矩阵”式项目团队</w:t>
      </w:r>
      <w:r>
        <w:rPr>
          <w:rFonts w:hint="eastAsia"/>
        </w:rPr>
        <w:tab/>
      </w:r>
      <w:r>
        <w:rPr>
          <w:rFonts w:hint="eastAsia"/>
        </w:rPr>
        <w:fldChar w:fldCharType="begin"/>
      </w:r>
      <w:r>
        <w:rPr>
          <w:rFonts w:hint="eastAsia"/>
        </w:rPr>
        <w:instrText xml:space="preserve"> </w:instrText>
      </w:r>
      <w:r>
        <w:instrText xml:space="preserve">PAGEREF _Toc221113295 \h</w:instrText>
      </w:r>
      <w:r>
        <w:rPr>
          <w:rFonts w:hint="eastAsia"/>
        </w:rPr>
        <w:instrText xml:space="preserve"> </w:instrText>
      </w:r>
      <w:r>
        <w:rPr>
          <w:rFonts w:hint="eastAsia"/>
        </w:rPr>
        <w:fldChar w:fldCharType="separate"/>
      </w:r>
      <w:r>
        <w:t>108</w:t>
      </w:r>
      <w:r>
        <w:rPr>
          <w:rFonts w:hint="eastAsia"/>
        </w:rPr>
        <w:fldChar w:fldCharType="end"/>
      </w:r>
      <w:r>
        <w:rPr>
          <w:rFonts w:hint="eastAsia"/>
        </w:rPr>
        <w:fldChar w:fldCharType="end"/>
      </w:r>
    </w:p>
    <w:p w14:paraId="005DEF0C">
      <w:pPr>
        <w:pStyle w:val="3"/>
        <w:tabs>
          <w:tab w:val="right" w:leader="dot" w:pos="8296"/>
        </w:tabs>
        <w:spacing w:line="360" w:lineRule="auto"/>
        <w:rPr>
          <w:sz w:val="22"/>
          <w14:ligatures w14:val="standardContextual"/>
        </w:rPr>
      </w:pPr>
      <w:r>
        <w:fldChar w:fldCharType="begin"/>
      </w:r>
      <w:r>
        <w:instrText xml:space="preserve"> HYPERLINK \l "_Toc221113296" </w:instrText>
      </w:r>
      <w:r>
        <w:fldChar w:fldCharType="separate"/>
      </w:r>
      <w:r>
        <w:rPr>
          <w:rStyle w:val="12"/>
          <w:rFonts w:hint="eastAsia"/>
        </w:rPr>
        <w:t>3.2.2. 明确的决策与沟通链路</w:t>
      </w:r>
      <w:r>
        <w:rPr>
          <w:rFonts w:hint="eastAsia"/>
        </w:rPr>
        <w:tab/>
      </w:r>
      <w:r>
        <w:rPr>
          <w:rFonts w:hint="eastAsia"/>
        </w:rPr>
        <w:fldChar w:fldCharType="begin"/>
      </w:r>
      <w:r>
        <w:rPr>
          <w:rFonts w:hint="eastAsia"/>
        </w:rPr>
        <w:instrText xml:space="preserve"> </w:instrText>
      </w:r>
      <w:r>
        <w:instrText xml:space="preserve">PAGEREF _Toc221113296 \h</w:instrText>
      </w:r>
      <w:r>
        <w:rPr>
          <w:rFonts w:hint="eastAsia"/>
        </w:rPr>
        <w:instrText xml:space="preserve"> </w:instrText>
      </w:r>
      <w:r>
        <w:rPr>
          <w:rFonts w:hint="eastAsia"/>
        </w:rPr>
        <w:fldChar w:fldCharType="separate"/>
      </w:r>
      <w:r>
        <w:t>109</w:t>
      </w:r>
      <w:r>
        <w:rPr>
          <w:rFonts w:hint="eastAsia"/>
        </w:rPr>
        <w:fldChar w:fldCharType="end"/>
      </w:r>
      <w:r>
        <w:rPr>
          <w:rFonts w:hint="eastAsia"/>
        </w:rPr>
        <w:fldChar w:fldCharType="end"/>
      </w:r>
    </w:p>
    <w:p w14:paraId="2EA84D38">
      <w:pPr>
        <w:pStyle w:val="7"/>
        <w:tabs>
          <w:tab w:val="right" w:leader="dot" w:pos="8296"/>
        </w:tabs>
        <w:spacing w:line="360" w:lineRule="auto"/>
        <w:rPr>
          <w:sz w:val="22"/>
          <w14:ligatures w14:val="standardContextual"/>
        </w:rPr>
      </w:pPr>
      <w:r>
        <w:fldChar w:fldCharType="begin"/>
      </w:r>
      <w:r>
        <w:instrText xml:space="preserve"> HYPERLINK \l "_Toc221113297" </w:instrText>
      </w:r>
      <w:r>
        <w:fldChar w:fldCharType="separate"/>
      </w:r>
      <w:r>
        <w:rPr>
          <w:rStyle w:val="12"/>
          <w:rFonts w:hint="eastAsia"/>
        </w:rPr>
        <w:t>3.2.2.1. 决策机制与层级</w:t>
      </w:r>
      <w:r>
        <w:rPr>
          <w:rFonts w:hint="eastAsia"/>
        </w:rPr>
        <w:tab/>
      </w:r>
      <w:r>
        <w:rPr>
          <w:rFonts w:hint="eastAsia"/>
        </w:rPr>
        <w:fldChar w:fldCharType="begin"/>
      </w:r>
      <w:r>
        <w:rPr>
          <w:rFonts w:hint="eastAsia"/>
        </w:rPr>
        <w:instrText xml:space="preserve"> </w:instrText>
      </w:r>
      <w:r>
        <w:instrText xml:space="preserve">PAGEREF _Toc221113297 \h</w:instrText>
      </w:r>
      <w:r>
        <w:rPr>
          <w:rFonts w:hint="eastAsia"/>
        </w:rPr>
        <w:instrText xml:space="preserve"> </w:instrText>
      </w:r>
      <w:r>
        <w:rPr>
          <w:rFonts w:hint="eastAsia"/>
        </w:rPr>
        <w:fldChar w:fldCharType="separate"/>
      </w:r>
      <w:r>
        <w:t>109</w:t>
      </w:r>
      <w:r>
        <w:rPr>
          <w:rFonts w:hint="eastAsia"/>
        </w:rPr>
        <w:fldChar w:fldCharType="end"/>
      </w:r>
      <w:r>
        <w:rPr>
          <w:rFonts w:hint="eastAsia"/>
        </w:rPr>
        <w:fldChar w:fldCharType="end"/>
      </w:r>
    </w:p>
    <w:p w14:paraId="09A7171E">
      <w:pPr>
        <w:pStyle w:val="7"/>
        <w:tabs>
          <w:tab w:val="right" w:leader="dot" w:pos="8296"/>
        </w:tabs>
        <w:spacing w:line="360" w:lineRule="auto"/>
        <w:rPr>
          <w:sz w:val="22"/>
          <w14:ligatures w14:val="standardContextual"/>
        </w:rPr>
      </w:pPr>
      <w:r>
        <w:fldChar w:fldCharType="begin"/>
      </w:r>
      <w:r>
        <w:instrText xml:space="preserve"> HYPERLINK \l "_Toc221113298" </w:instrText>
      </w:r>
      <w:r>
        <w:fldChar w:fldCharType="separate"/>
      </w:r>
      <w:r>
        <w:rPr>
          <w:rStyle w:val="12"/>
          <w:rFonts w:hint="eastAsia"/>
        </w:rPr>
        <w:t>3.2.2.2. 沟通机制与渠道</w:t>
      </w:r>
      <w:r>
        <w:rPr>
          <w:rFonts w:hint="eastAsia"/>
        </w:rPr>
        <w:tab/>
      </w:r>
      <w:r>
        <w:rPr>
          <w:rFonts w:hint="eastAsia"/>
        </w:rPr>
        <w:fldChar w:fldCharType="begin"/>
      </w:r>
      <w:r>
        <w:rPr>
          <w:rFonts w:hint="eastAsia"/>
        </w:rPr>
        <w:instrText xml:space="preserve"> </w:instrText>
      </w:r>
      <w:r>
        <w:instrText xml:space="preserve">PAGEREF _Toc221113298 \h</w:instrText>
      </w:r>
      <w:r>
        <w:rPr>
          <w:rFonts w:hint="eastAsia"/>
        </w:rPr>
        <w:instrText xml:space="preserve"> </w:instrText>
      </w:r>
      <w:r>
        <w:rPr>
          <w:rFonts w:hint="eastAsia"/>
        </w:rPr>
        <w:fldChar w:fldCharType="separate"/>
      </w:r>
      <w:r>
        <w:t>111</w:t>
      </w:r>
      <w:r>
        <w:rPr>
          <w:rFonts w:hint="eastAsia"/>
        </w:rPr>
        <w:fldChar w:fldCharType="end"/>
      </w:r>
      <w:r>
        <w:rPr>
          <w:rFonts w:hint="eastAsia"/>
        </w:rPr>
        <w:fldChar w:fldCharType="end"/>
      </w:r>
    </w:p>
    <w:p w14:paraId="6A2E9D7B">
      <w:pPr>
        <w:pStyle w:val="7"/>
        <w:tabs>
          <w:tab w:val="right" w:leader="dot" w:pos="8296"/>
        </w:tabs>
        <w:spacing w:line="360" w:lineRule="auto"/>
        <w:rPr>
          <w:sz w:val="22"/>
          <w14:ligatures w14:val="standardContextual"/>
        </w:rPr>
      </w:pPr>
      <w:r>
        <w:fldChar w:fldCharType="begin"/>
      </w:r>
      <w:r>
        <w:instrText xml:space="preserve"> HYPERLINK \l "_Toc221113299" </w:instrText>
      </w:r>
      <w:r>
        <w:fldChar w:fldCharType="separate"/>
      </w:r>
      <w:r>
        <w:rPr>
          <w:rStyle w:val="12"/>
          <w:rFonts w:hint="eastAsia"/>
        </w:rPr>
        <w:t>3.2.2.3. 决策与沟通流程</w:t>
      </w:r>
      <w:r>
        <w:rPr>
          <w:rFonts w:hint="eastAsia"/>
        </w:rPr>
        <w:tab/>
      </w:r>
      <w:r>
        <w:rPr>
          <w:rFonts w:hint="eastAsia"/>
        </w:rPr>
        <w:fldChar w:fldCharType="begin"/>
      </w:r>
      <w:r>
        <w:rPr>
          <w:rFonts w:hint="eastAsia"/>
        </w:rPr>
        <w:instrText xml:space="preserve"> </w:instrText>
      </w:r>
      <w:r>
        <w:instrText xml:space="preserve">PAGEREF _Toc221113299 \h</w:instrText>
      </w:r>
      <w:r>
        <w:rPr>
          <w:rFonts w:hint="eastAsia"/>
        </w:rPr>
        <w:instrText xml:space="preserve"> </w:instrText>
      </w:r>
      <w:r>
        <w:rPr>
          <w:rFonts w:hint="eastAsia"/>
        </w:rPr>
        <w:fldChar w:fldCharType="separate"/>
      </w:r>
      <w:r>
        <w:t>112</w:t>
      </w:r>
      <w:r>
        <w:rPr>
          <w:rFonts w:hint="eastAsia"/>
        </w:rPr>
        <w:fldChar w:fldCharType="end"/>
      </w:r>
      <w:r>
        <w:rPr>
          <w:rFonts w:hint="eastAsia"/>
        </w:rPr>
        <w:fldChar w:fldCharType="end"/>
      </w:r>
    </w:p>
    <w:p w14:paraId="195C71BF">
      <w:pPr>
        <w:pStyle w:val="3"/>
        <w:tabs>
          <w:tab w:val="right" w:leader="dot" w:pos="8296"/>
        </w:tabs>
        <w:spacing w:line="360" w:lineRule="auto"/>
        <w:rPr>
          <w:sz w:val="22"/>
          <w14:ligatures w14:val="standardContextual"/>
        </w:rPr>
      </w:pPr>
      <w:r>
        <w:fldChar w:fldCharType="begin"/>
      </w:r>
      <w:r>
        <w:instrText xml:space="preserve"> HYPERLINK \l "_Toc221113300" </w:instrText>
      </w:r>
      <w:r>
        <w:fldChar w:fldCharType="separate"/>
      </w:r>
      <w:r>
        <w:rPr>
          <w:rStyle w:val="12"/>
          <w:rFonts w:hint="eastAsia"/>
        </w:rPr>
        <w:t>3.2.3. 本地化资源保障</w:t>
      </w:r>
      <w:r>
        <w:rPr>
          <w:rFonts w:hint="eastAsia"/>
        </w:rPr>
        <w:tab/>
      </w:r>
      <w:r>
        <w:rPr>
          <w:rFonts w:hint="eastAsia"/>
        </w:rPr>
        <w:fldChar w:fldCharType="begin"/>
      </w:r>
      <w:r>
        <w:rPr>
          <w:rFonts w:hint="eastAsia"/>
        </w:rPr>
        <w:instrText xml:space="preserve"> </w:instrText>
      </w:r>
      <w:r>
        <w:instrText xml:space="preserve">PAGEREF _Toc221113300 \h</w:instrText>
      </w:r>
      <w:r>
        <w:rPr>
          <w:rFonts w:hint="eastAsia"/>
        </w:rPr>
        <w:instrText xml:space="preserve"> </w:instrText>
      </w:r>
      <w:r>
        <w:rPr>
          <w:rFonts w:hint="eastAsia"/>
        </w:rPr>
        <w:fldChar w:fldCharType="separate"/>
      </w:r>
      <w:r>
        <w:t>114</w:t>
      </w:r>
      <w:r>
        <w:rPr>
          <w:rFonts w:hint="eastAsia"/>
        </w:rPr>
        <w:fldChar w:fldCharType="end"/>
      </w:r>
      <w:r>
        <w:rPr>
          <w:rFonts w:hint="eastAsia"/>
        </w:rPr>
        <w:fldChar w:fldCharType="end"/>
      </w:r>
    </w:p>
    <w:p w14:paraId="0A845BBF">
      <w:pPr>
        <w:pStyle w:val="8"/>
        <w:tabs>
          <w:tab w:val="right" w:leader="dot" w:pos="8296"/>
        </w:tabs>
        <w:spacing w:line="360" w:lineRule="auto"/>
        <w:rPr>
          <w:sz w:val="22"/>
          <w14:ligatures w14:val="standardContextual"/>
        </w:rPr>
      </w:pPr>
      <w:r>
        <w:fldChar w:fldCharType="begin"/>
      </w:r>
      <w:r>
        <w:instrText xml:space="preserve"> HYPERLINK \l "_Toc221113301" </w:instrText>
      </w:r>
      <w:r>
        <w:fldChar w:fldCharType="separate"/>
      </w:r>
      <w:r>
        <w:rPr>
          <w:rStyle w:val="12"/>
          <w:rFonts w:hint="eastAsia"/>
        </w:rPr>
        <w:t>3.3. 详细实施阶段与里程碑计划</w:t>
      </w:r>
      <w:r>
        <w:rPr>
          <w:rFonts w:hint="eastAsia"/>
        </w:rPr>
        <w:tab/>
      </w:r>
      <w:r>
        <w:rPr>
          <w:rFonts w:hint="eastAsia"/>
        </w:rPr>
        <w:fldChar w:fldCharType="begin"/>
      </w:r>
      <w:r>
        <w:rPr>
          <w:rFonts w:hint="eastAsia"/>
        </w:rPr>
        <w:instrText xml:space="preserve"> </w:instrText>
      </w:r>
      <w:r>
        <w:instrText xml:space="preserve">PAGEREF _Toc221113301 \h</w:instrText>
      </w:r>
      <w:r>
        <w:rPr>
          <w:rFonts w:hint="eastAsia"/>
        </w:rPr>
        <w:instrText xml:space="preserve"> </w:instrText>
      </w:r>
      <w:r>
        <w:rPr>
          <w:rFonts w:hint="eastAsia"/>
        </w:rPr>
        <w:fldChar w:fldCharType="separate"/>
      </w:r>
      <w:r>
        <w:t>114</w:t>
      </w:r>
      <w:r>
        <w:rPr>
          <w:rFonts w:hint="eastAsia"/>
        </w:rPr>
        <w:fldChar w:fldCharType="end"/>
      </w:r>
      <w:r>
        <w:rPr>
          <w:rFonts w:hint="eastAsia"/>
        </w:rPr>
        <w:fldChar w:fldCharType="end"/>
      </w:r>
    </w:p>
    <w:p w14:paraId="12C05A13">
      <w:pPr>
        <w:pStyle w:val="8"/>
        <w:tabs>
          <w:tab w:val="right" w:leader="dot" w:pos="8296"/>
        </w:tabs>
        <w:spacing w:line="360" w:lineRule="auto"/>
        <w:rPr>
          <w:sz w:val="22"/>
          <w14:ligatures w14:val="standardContextual"/>
        </w:rPr>
      </w:pPr>
      <w:r>
        <w:fldChar w:fldCharType="begin"/>
      </w:r>
      <w:r>
        <w:instrText xml:space="preserve"> HYPERLINK \l "_Toc221113302" </w:instrText>
      </w:r>
      <w:r>
        <w:fldChar w:fldCharType="separate"/>
      </w:r>
      <w:r>
        <w:rPr>
          <w:rStyle w:val="12"/>
          <w:rFonts w:hint="eastAsia"/>
        </w:rPr>
        <w:t>3.4. 核心管理保障措施</w:t>
      </w:r>
      <w:r>
        <w:rPr>
          <w:rFonts w:hint="eastAsia"/>
        </w:rPr>
        <w:tab/>
      </w:r>
      <w:r>
        <w:rPr>
          <w:rFonts w:hint="eastAsia"/>
        </w:rPr>
        <w:fldChar w:fldCharType="begin"/>
      </w:r>
      <w:r>
        <w:rPr>
          <w:rFonts w:hint="eastAsia"/>
        </w:rPr>
        <w:instrText xml:space="preserve"> </w:instrText>
      </w:r>
      <w:r>
        <w:instrText xml:space="preserve">PAGEREF _Toc221113302 \h</w:instrText>
      </w:r>
      <w:r>
        <w:rPr>
          <w:rFonts w:hint="eastAsia"/>
        </w:rPr>
        <w:instrText xml:space="preserve"> </w:instrText>
      </w:r>
      <w:r>
        <w:rPr>
          <w:rFonts w:hint="eastAsia"/>
        </w:rPr>
        <w:fldChar w:fldCharType="separate"/>
      </w:r>
      <w:r>
        <w:t>116</w:t>
      </w:r>
      <w:r>
        <w:rPr>
          <w:rFonts w:hint="eastAsia"/>
        </w:rPr>
        <w:fldChar w:fldCharType="end"/>
      </w:r>
      <w:r>
        <w:rPr>
          <w:rFonts w:hint="eastAsia"/>
        </w:rPr>
        <w:fldChar w:fldCharType="end"/>
      </w:r>
    </w:p>
    <w:p w14:paraId="784C3A67">
      <w:pPr>
        <w:pStyle w:val="8"/>
        <w:tabs>
          <w:tab w:val="right" w:leader="dot" w:pos="8296"/>
        </w:tabs>
        <w:spacing w:line="360" w:lineRule="auto"/>
        <w:rPr>
          <w:sz w:val="22"/>
          <w14:ligatures w14:val="standardContextual"/>
        </w:rPr>
      </w:pPr>
      <w:r>
        <w:fldChar w:fldCharType="begin"/>
      </w:r>
      <w:r>
        <w:instrText xml:space="preserve"> HYPERLINK \l "_Toc221113303" </w:instrText>
      </w:r>
      <w:r>
        <w:fldChar w:fldCharType="separate"/>
      </w:r>
      <w:r>
        <w:rPr>
          <w:rStyle w:val="12"/>
          <w:rFonts w:hint="eastAsia"/>
        </w:rPr>
        <w:t>3.5. 特别说明</w:t>
      </w:r>
      <w:r>
        <w:rPr>
          <w:rFonts w:hint="eastAsia"/>
        </w:rPr>
        <w:tab/>
      </w:r>
      <w:r>
        <w:rPr>
          <w:rFonts w:hint="eastAsia"/>
        </w:rPr>
        <w:fldChar w:fldCharType="begin"/>
      </w:r>
      <w:r>
        <w:rPr>
          <w:rFonts w:hint="eastAsia"/>
        </w:rPr>
        <w:instrText xml:space="preserve"> </w:instrText>
      </w:r>
      <w:r>
        <w:instrText xml:space="preserve">PAGEREF _Toc221113303 \h</w:instrText>
      </w:r>
      <w:r>
        <w:rPr>
          <w:rFonts w:hint="eastAsia"/>
        </w:rPr>
        <w:instrText xml:space="preserve"> </w:instrText>
      </w:r>
      <w:r>
        <w:rPr>
          <w:rFonts w:hint="eastAsia"/>
        </w:rPr>
        <w:fldChar w:fldCharType="separate"/>
      </w:r>
      <w:r>
        <w:t>118</w:t>
      </w:r>
      <w:r>
        <w:rPr>
          <w:rFonts w:hint="eastAsia"/>
        </w:rPr>
        <w:fldChar w:fldCharType="end"/>
      </w:r>
      <w:r>
        <w:rPr>
          <w:rFonts w:hint="eastAsia"/>
        </w:rPr>
        <w:fldChar w:fldCharType="end"/>
      </w:r>
    </w:p>
    <w:p w14:paraId="1F6987C4">
      <w:pPr>
        <w:pStyle w:val="6"/>
        <w:tabs>
          <w:tab w:val="right" w:leader="dot" w:pos="8296"/>
        </w:tabs>
        <w:spacing w:line="360" w:lineRule="auto"/>
        <w:rPr>
          <w:sz w:val="22"/>
          <w14:ligatures w14:val="standardContextual"/>
        </w:rPr>
      </w:pPr>
      <w:r>
        <w:fldChar w:fldCharType="begin"/>
      </w:r>
      <w:r>
        <w:instrText xml:space="preserve"> HYPERLINK \l "_Toc221113304" </w:instrText>
      </w:r>
      <w:r>
        <w:fldChar w:fldCharType="separate"/>
      </w:r>
      <w:r>
        <w:rPr>
          <w:rStyle w:val="12"/>
          <w:rFonts w:hint="eastAsia"/>
        </w:rPr>
        <w:t>4. 项目培训及售后服务方案</w:t>
      </w:r>
      <w:r>
        <w:rPr>
          <w:rFonts w:hint="eastAsia"/>
        </w:rPr>
        <w:tab/>
      </w:r>
      <w:r>
        <w:rPr>
          <w:rFonts w:hint="eastAsia"/>
        </w:rPr>
        <w:fldChar w:fldCharType="begin"/>
      </w:r>
      <w:r>
        <w:rPr>
          <w:rFonts w:hint="eastAsia"/>
        </w:rPr>
        <w:instrText xml:space="preserve"> </w:instrText>
      </w:r>
      <w:r>
        <w:instrText xml:space="preserve">PAGEREF _Toc221113304 \h</w:instrText>
      </w:r>
      <w:r>
        <w:rPr>
          <w:rFonts w:hint="eastAsia"/>
        </w:rPr>
        <w:instrText xml:space="preserve"> </w:instrText>
      </w:r>
      <w:r>
        <w:rPr>
          <w:rFonts w:hint="eastAsia"/>
        </w:rPr>
        <w:fldChar w:fldCharType="separate"/>
      </w:r>
      <w:r>
        <w:t>119</w:t>
      </w:r>
      <w:r>
        <w:rPr>
          <w:rFonts w:hint="eastAsia"/>
        </w:rPr>
        <w:fldChar w:fldCharType="end"/>
      </w:r>
      <w:r>
        <w:rPr>
          <w:rFonts w:hint="eastAsia"/>
        </w:rPr>
        <w:fldChar w:fldCharType="end"/>
      </w:r>
    </w:p>
    <w:p w14:paraId="2E8A37E8">
      <w:pPr>
        <w:pStyle w:val="8"/>
        <w:tabs>
          <w:tab w:val="right" w:leader="dot" w:pos="8296"/>
        </w:tabs>
        <w:spacing w:line="360" w:lineRule="auto"/>
        <w:rPr>
          <w:sz w:val="22"/>
          <w14:ligatures w14:val="standardContextual"/>
        </w:rPr>
      </w:pPr>
      <w:r>
        <w:fldChar w:fldCharType="begin"/>
      </w:r>
      <w:r>
        <w:instrText xml:space="preserve"> HYPERLINK \l "_Toc221113305" </w:instrText>
      </w:r>
      <w:r>
        <w:fldChar w:fldCharType="separate"/>
      </w:r>
      <w:r>
        <w:rPr>
          <w:rStyle w:val="12"/>
          <w:rFonts w:hint="eastAsia"/>
        </w:rPr>
        <w:t>4.1. 售后服务总体承诺</w:t>
      </w:r>
      <w:r>
        <w:rPr>
          <w:rFonts w:hint="eastAsia"/>
        </w:rPr>
        <w:tab/>
      </w:r>
      <w:r>
        <w:rPr>
          <w:rFonts w:hint="eastAsia"/>
        </w:rPr>
        <w:fldChar w:fldCharType="begin"/>
      </w:r>
      <w:r>
        <w:rPr>
          <w:rFonts w:hint="eastAsia"/>
        </w:rPr>
        <w:instrText xml:space="preserve"> </w:instrText>
      </w:r>
      <w:r>
        <w:instrText xml:space="preserve">PAGEREF _Toc221113305 \h</w:instrText>
      </w:r>
      <w:r>
        <w:rPr>
          <w:rFonts w:hint="eastAsia"/>
        </w:rPr>
        <w:instrText xml:space="preserve"> </w:instrText>
      </w:r>
      <w:r>
        <w:rPr>
          <w:rFonts w:hint="eastAsia"/>
        </w:rPr>
        <w:fldChar w:fldCharType="separate"/>
      </w:r>
      <w:r>
        <w:t>119</w:t>
      </w:r>
      <w:r>
        <w:rPr>
          <w:rFonts w:hint="eastAsia"/>
        </w:rPr>
        <w:fldChar w:fldCharType="end"/>
      </w:r>
      <w:r>
        <w:rPr>
          <w:rFonts w:hint="eastAsia"/>
        </w:rPr>
        <w:fldChar w:fldCharType="end"/>
      </w:r>
    </w:p>
    <w:p w14:paraId="078F809F">
      <w:pPr>
        <w:pStyle w:val="8"/>
        <w:tabs>
          <w:tab w:val="right" w:leader="dot" w:pos="8296"/>
        </w:tabs>
        <w:spacing w:line="360" w:lineRule="auto"/>
        <w:rPr>
          <w:sz w:val="22"/>
          <w14:ligatures w14:val="standardContextual"/>
        </w:rPr>
      </w:pPr>
      <w:r>
        <w:fldChar w:fldCharType="begin"/>
      </w:r>
      <w:r>
        <w:instrText xml:space="preserve"> HYPERLINK \l "_Toc221113306" </w:instrText>
      </w:r>
      <w:r>
        <w:fldChar w:fldCharType="separate"/>
      </w:r>
      <w:r>
        <w:rPr>
          <w:rStyle w:val="12"/>
          <w:rFonts w:hint="eastAsia"/>
        </w:rPr>
        <w:t>4.2. 售后服务具体内容</w:t>
      </w:r>
      <w:r>
        <w:rPr>
          <w:rFonts w:hint="eastAsia"/>
        </w:rPr>
        <w:tab/>
      </w:r>
      <w:r>
        <w:rPr>
          <w:rFonts w:hint="eastAsia"/>
        </w:rPr>
        <w:fldChar w:fldCharType="begin"/>
      </w:r>
      <w:r>
        <w:rPr>
          <w:rFonts w:hint="eastAsia"/>
        </w:rPr>
        <w:instrText xml:space="preserve"> </w:instrText>
      </w:r>
      <w:r>
        <w:instrText xml:space="preserve">PAGEREF _Toc221113306 \h</w:instrText>
      </w:r>
      <w:r>
        <w:rPr>
          <w:rFonts w:hint="eastAsia"/>
        </w:rPr>
        <w:instrText xml:space="preserve"> </w:instrText>
      </w:r>
      <w:r>
        <w:rPr>
          <w:rFonts w:hint="eastAsia"/>
        </w:rPr>
        <w:fldChar w:fldCharType="separate"/>
      </w:r>
      <w:r>
        <w:t>121</w:t>
      </w:r>
      <w:r>
        <w:rPr>
          <w:rFonts w:hint="eastAsia"/>
        </w:rPr>
        <w:fldChar w:fldCharType="end"/>
      </w:r>
      <w:r>
        <w:rPr>
          <w:rFonts w:hint="eastAsia"/>
        </w:rPr>
        <w:fldChar w:fldCharType="end"/>
      </w:r>
    </w:p>
    <w:p w14:paraId="2746163A">
      <w:pPr>
        <w:pStyle w:val="8"/>
        <w:tabs>
          <w:tab w:val="right" w:leader="dot" w:pos="8296"/>
        </w:tabs>
        <w:spacing w:line="360" w:lineRule="auto"/>
        <w:rPr>
          <w:sz w:val="22"/>
          <w14:ligatures w14:val="standardContextual"/>
        </w:rPr>
      </w:pPr>
      <w:r>
        <w:fldChar w:fldCharType="begin"/>
      </w:r>
      <w:r>
        <w:instrText xml:space="preserve"> HYPERLINK \l "_Toc221113307" </w:instrText>
      </w:r>
      <w:r>
        <w:fldChar w:fldCharType="separate"/>
      </w:r>
      <w:r>
        <w:rPr>
          <w:rStyle w:val="12"/>
          <w:rFonts w:hint="eastAsia"/>
        </w:rPr>
        <w:t>4.3. 培训方案</w:t>
      </w:r>
      <w:r>
        <w:rPr>
          <w:rFonts w:hint="eastAsia"/>
        </w:rPr>
        <w:tab/>
      </w:r>
      <w:r>
        <w:rPr>
          <w:rFonts w:hint="eastAsia"/>
        </w:rPr>
        <w:fldChar w:fldCharType="begin"/>
      </w:r>
      <w:r>
        <w:rPr>
          <w:rFonts w:hint="eastAsia"/>
        </w:rPr>
        <w:instrText xml:space="preserve"> </w:instrText>
      </w:r>
      <w:r>
        <w:instrText xml:space="preserve">PAGEREF _Toc221113307 \h</w:instrText>
      </w:r>
      <w:r>
        <w:rPr>
          <w:rFonts w:hint="eastAsia"/>
        </w:rPr>
        <w:instrText xml:space="preserve"> </w:instrText>
      </w:r>
      <w:r>
        <w:rPr>
          <w:rFonts w:hint="eastAsia"/>
        </w:rPr>
        <w:fldChar w:fldCharType="separate"/>
      </w:r>
      <w:r>
        <w:t>123</w:t>
      </w:r>
      <w:r>
        <w:rPr>
          <w:rFonts w:hint="eastAsia"/>
        </w:rPr>
        <w:fldChar w:fldCharType="end"/>
      </w:r>
      <w:r>
        <w:rPr>
          <w:rFonts w:hint="eastAsia"/>
        </w:rPr>
        <w:fldChar w:fldCharType="end"/>
      </w:r>
    </w:p>
    <w:p w14:paraId="46CF66F7">
      <w:pPr>
        <w:pStyle w:val="8"/>
        <w:tabs>
          <w:tab w:val="right" w:leader="dot" w:pos="8296"/>
        </w:tabs>
        <w:spacing w:line="360" w:lineRule="auto"/>
        <w:rPr>
          <w:sz w:val="22"/>
          <w14:ligatures w14:val="standardContextual"/>
        </w:rPr>
      </w:pPr>
      <w:r>
        <w:fldChar w:fldCharType="begin"/>
      </w:r>
      <w:r>
        <w:instrText xml:space="preserve"> HYPERLINK \l "_Toc221113308" </w:instrText>
      </w:r>
      <w:r>
        <w:fldChar w:fldCharType="separate"/>
      </w:r>
      <w:r>
        <w:rPr>
          <w:rStyle w:val="12"/>
          <w:rFonts w:hint="eastAsia"/>
        </w:rPr>
        <w:t>4.4. 服务保障措施</w:t>
      </w:r>
      <w:r>
        <w:rPr>
          <w:rFonts w:hint="eastAsia"/>
        </w:rPr>
        <w:tab/>
      </w:r>
      <w:r>
        <w:rPr>
          <w:rFonts w:hint="eastAsia"/>
        </w:rPr>
        <w:fldChar w:fldCharType="begin"/>
      </w:r>
      <w:r>
        <w:rPr>
          <w:rFonts w:hint="eastAsia"/>
        </w:rPr>
        <w:instrText xml:space="preserve"> </w:instrText>
      </w:r>
      <w:r>
        <w:instrText xml:space="preserve">PAGEREF _Toc221113308 \h</w:instrText>
      </w:r>
      <w:r>
        <w:rPr>
          <w:rFonts w:hint="eastAsia"/>
        </w:rPr>
        <w:instrText xml:space="preserve"> </w:instrText>
      </w:r>
      <w:r>
        <w:rPr>
          <w:rFonts w:hint="eastAsia"/>
        </w:rPr>
        <w:fldChar w:fldCharType="separate"/>
      </w:r>
      <w:r>
        <w:t>124</w:t>
      </w:r>
      <w:r>
        <w:rPr>
          <w:rFonts w:hint="eastAsia"/>
        </w:rPr>
        <w:fldChar w:fldCharType="end"/>
      </w:r>
      <w:r>
        <w:rPr>
          <w:rFonts w:hint="eastAsia"/>
        </w:rPr>
        <w:fldChar w:fldCharType="end"/>
      </w:r>
    </w:p>
    <w:p w14:paraId="1DADFEE7">
      <w:pPr>
        <w:pStyle w:val="8"/>
        <w:tabs>
          <w:tab w:val="right" w:leader="dot" w:pos="8296"/>
        </w:tabs>
        <w:spacing w:line="360" w:lineRule="auto"/>
        <w:rPr>
          <w:sz w:val="22"/>
          <w14:ligatures w14:val="standardContextual"/>
        </w:rPr>
      </w:pPr>
      <w:r>
        <w:fldChar w:fldCharType="begin"/>
      </w:r>
      <w:r>
        <w:instrText xml:space="preserve"> HYPERLINK \l "_Toc221113309" </w:instrText>
      </w:r>
      <w:r>
        <w:fldChar w:fldCharType="separate"/>
      </w:r>
      <w:r>
        <w:rPr>
          <w:rStyle w:val="12"/>
          <w:rFonts w:hint="eastAsia"/>
        </w:rPr>
        <w:t>4.5. 服务承诺书</w:t>
      </w:r>
      <w:r>
        <w:rPr>
          <w:rFonts w:hint="eastAsia"/>
        </w:rPr>
        <w:tab/>
      </w:r>
      <w:r>
        <w:rPr>
          <w:rFonts w:hint="eastAsia"/>
        </w:rPr>
        <w:fldChar w:fldCharType="begin"/>
      </w:r>
      <w:r>
        <w:rPr>
          <w:rFonts w:hint="eastAsia"/>
        </w:rPr>
        <w:instrText xml:space="preserve"> </w:instrText>
      </w:r>
      <w:r>
        <w:instrText xml:space="preserve">PAGEREF _Toc221113309 \h</w:instrText>
      </w:r>
      <w:r>
        <w:rPr>
          <w:rFonts w:hint="eastAsia"/>
        </w:rPr>
        <w:instrText xml:space="preserve"> </w:instrText>
      </w:r>
      <w:r>
        <w:rPr>
          <w:rFonts w:hint="eastAsia"/>
        </w:rPr>
        <w:fldChar w:fldCharType="separate"/>
      </w:r>
      <w:r>
        <w:t>126</w:t>
      </w:r>
      <w:r>
        <w:rPr>
          <w:rFonts w:hint="eastAsia"/>
        </w:rPr>
        <w:fldChar w:fldCharType="end"/>
      </w:r>
      <w:r>
        <w:rPr>
          <w:rFonts w:hint="eastAsia"/>
        </w:rPr>
        <w:fldChar w:fldCharType="end"/>
      </w:r>
    </w:p>
    <w:p w14:paraId="3718B058">
      <w:pPr>
        <w:spacing w:line="360" w:lineRule="auto"/>
        <w:outlineLvl w:val="0"/>
        <w:rPr>
          <w:b/>
          <w:bCs/>
          <w:sz w:val="32"/>
          <w:szCs w:val="32"/>
        </w:rPr>
        <w:sectPr>
          <w:footerReference r:id="rId3" w:type="default"/>
          <w:pgSz w:w="11906" w:h="16838"/>
          <w:pgMar w:top="1440" w:right="1800" w:bottom="1440" w:left="1800" w:header="851" w:footer="992" w:gutter="0"/>
          <w:cols w:space="425" w:num="1"/>
          <w:docGrid w:type="lines" w:linePitch="312" w:charSpace="0"/>
        </w:sectPr>
      </w:pPr>
      <w:r>
        <w:rPr>
          <w:szCs w:val="32"/>
        </w:rPr>
        <w:fldChar w:fldCharType="end"/>
      </w:r>
    </w:p>
    <w:p w14:paraId="4932044C">
      <w:pPr>
        <w:numPr>
          <w:ilvl w:val="0"/>
          <w:numId w:val="1"/>
        </w:numPr>
        <w:spacing w:line="360" w:lineRule="auto"/>
        <w:outlineLvl w:val="0"/>
        <w:rPr>
          <w:b/>
          <w:bCs/>
          <w:sz w:val="32"/>
          <w:szCs w:val="32"/>
        </w:rPr>
      </w:pPr>
      <w:bookmarkStart w:id="0" w:name="_Toc221113225"/>
      <w:r>
        <w:rPr>
          <w:rFonts w:hint="eastAsia"/>
          <w:b/>
          <w:bCs/>
          <w:sz w:val="32"/>
          <w:szCs w:val="32"/>
        </w:rPr>
        <w:t>项目需求与服务内容的阐述与分析</w:t>
      </w:r>
      <w:bookmarkEnd w:id="0"/>
      <w:bookmarkStart w:id="85" w:name="_GoBack"/>
      <w:bookmarkEnd w:id="85"/>
    </w:p>
    <w:p w14:paraId="1EDBB9C5">
      <w:pPr>
        <w:spacing w:line="360" w:lineRule="auto"/>
      </w:pPr>
    </w:p>
    <w:p w14:paraId="6E726C17">
      <w:pPr>
        <w:pBdr>
          <w:top w:val="single" w:color="auto" w:sz="4" w:space="0"/>
          <w:left w:val="single" w:color="auto" w:sz="4" w:space="0"/>
          <w:bottom w:val="single" w:color="auto" w:sz="4" w:space="0"/>
          <w:right w:val="single" w:color="auto" w:sz="4" w:space="0"/>
        </w:pBdr>
        <w:spacing w:line="360" w:lineRule="auto"/>
        <w:ind w:firstLine="482" w:firstLineChars="200"/>
        <w:rPr>
          <w:b/>
          <w:bCs/>
          <w:sz w:val="24"/>
        </w:rPr>
      </w:pPr>
      <w:r>
        <w:rPr>
          <w:rFonts w:hint="eastAsia"/>
          <w:b/>
          <w:bCs/>
          <w:sz w:val="24"/>
        </w:rPr>
        <w:t>本章节重点阐述项目需求与服务内容的阐述与分析，包含项目背景、需求分析、项目重难点、服务内容等的阐述与分析。</w:t>
      </w:r>
    </w:p>
    <w:p w14:paraId="36A9B108">
      <w:pPr>
        <w:spacing w:line="360" w:lineRule="auto"/>
      </w:pPr>
    </w:p>
    <w:p w14:paraId="26F9515B">
      <w:pPr>
        <w:numPr>
          <w:ilvl w:val="1"/>
          <w:numId w:val="1"/>
        </w:numPr>
        <w:spacing w:line="360" w:lineRule="auto"/>
        <w:outlineLvl w:val="1"/>
        <w:rPr>
          <w:b/>
          <w:bCs/>
          <w:sz w:val="30"/>
          <w:szCs w:val="30"/>
        </w:rPr>
      </w:pPr>
      <w:bookmarkStart w:id="1" w:name="_Toc221113226"/>
      <w:r>
        <w:rPr>
          <w:b/>
          <w:bCs/>
          <w:sz w:val="30"/>
          <w:szCs w:val="30"/>
        </w:rPr>
        <w:t>项目宏观背景与核心目标理解</w:t>
      </w:r>
      <w:bookmarkEnd w:id="1"/>
    </w:p>
    <w:p w14:paraId="45B2D48B">
      <w:pPr>
        <w:spacing w:line="360" w:lineRule="auto"/>
      </w:pPr>
    </w:p>
    <w:p w14:paraId="7890B315">
      <w:pPr>
        <w:numPr>
          <w:ilvl w:val="2"/>
          <w:numId w:val="1"/>
        </w:numPr>
        <w:spacing w:line="360" w:lineRule="auto"/>
        <w:outlineLvl w:val="2"/>
        <w:rPr>
          <w:b/>
          <w:bCs/>
          <w:sz w:val="28"/>
          <w:szCs w:val="28"/>
        </w:rPr>
      </w:pPr>
      <w:bookmarkStart w:id="2" w:name="_Toc221113227"/>
      <w:r>
        <w:rPr>
          <w:b/>
          <w:bCs/>
          <w:sz w:val="28"/>
          <w:szCs w:val="28"/>
        </w:rPr>
        <w:t>数字中国战略下的职教AI转型浪潮</w:t>
      </w:r>
      <w:bookmarkEnd w:id="2"/>
    </w:p>
    <w:p w14:paraId="62331D9E">
      <w:pPr>
        <w:spacing w:line="360" w:lineRule="auto"/>
      </w:pPr>
    </w:p>
    <w:p w14:paraId="5E04334D">
      <w:pPr>
        <w:spacing w:line="360" w:lineRule="auto"/>
        <w:ind w:firstLine="480" w:firstLineChars="200"/>
        <w:rPr>
          <w:sz w:val="24"/>
        </w:rPr>
      </w:pPr>
      <w:r>
        <w:rPr>
          <w:rFonts w:hint="eastAsia"/>
          <w:sz w:val="24"/>
        </w:rPr>
        <w:t>当前，我国正处在从教育大国迈向教育强国的关键阶段，教育数字化已成为国家战略的核心组成部分。《中国教育现代化2035》、《职业教育提质培优行动计划（2020—2023年）》等国家顶层设计文件，明确提出要推动信息技术与教育教学深度融合，构建“互联网+教育”新生态。教育部在《关于推进教育新型基础设施建设构建高质量教育支撑体系的指导意见》中，更是将“数字教育资源公共服务体系”与“智慧教育创新发展”列为重点任务，并具体部署了建设教育专网、校园网络、智慧教室以及创新教学、评价、研训、管理等智能化应用。在此背景下，人工智能不再仅仅是辅助教学的技术工具，而是驱动职业教育从理念、模式到体系进行系统性、深层次变革的核心引擎。职教数字化已从“选修课”变为“必修课”，从局部探索进入全面深化、融合创新的新阶段。</w:t>
      </w:r>
    </w:p>
    <w:p w14:paraId="6231094E">
      <w:pPr>
        <w:spacing w:line="360" w:lineRule="auto"/>
        <w:ind w:firstLine="480" w:firstLineChars="200"/>
        <w:rPr>
          <w:sz w:val="24"/>
        </w:rPr>
      </w:pPr>
    </w:p>
    <w:p w14:paraId="0E3EEA9A">
      <w:pPr>
        <w:spacing w:line="360" w:lineRule="auto"/>
        <w:ind w:firstLine="480" w:firstLineChars="200"/>
        <w:rPr>
          <w:sz w:val="24"/>
        </w:rPr>
      </w:pPr>
      <w:r>
        <w:rPr>
          <w:rFonts w:hint="eastAsia"/>
          <w:sz w:val="24"/>
        </w:rPr>
        <w:t>从产业发展与人才需求视角来看，以智能制造、工业互联网、数字经济为代表的新一轮科技革命和产业变革正加速演进。新一代人工智能技术，特别是大语言模型、计算机视觉、知识图谱等，正以前所未有的广度和深度与实体经济融合，催生出大量新岗位、新技能和新业态。这对职业院校人才培养的规格、模式与路径提出了颠覆性的全新要求：人才标准从单一技能操作向“技能+数据+智能”的复合能力转变；培养过程从预设固定的课程体系向动态适应产业技术迭代的敏捷式学习转变；评价方式从终结性考核向贯穿学习全过程的数字画像与能力认证转变。因此，学校必须主动适应产业数字化、智能化转型的浪潮，将AI能力系统性、创造性地融入专业建设、课程开发、实训实践、教学评价与治理决策的全过程。建设一个能够贯通数据、承载智能、赋能教学、服务管理、对接产业的AI数智化平台，不仅是学校自身信息化建设从“业务上网”到“数据智能”的升级需求，更是积极响应国家战略、精准服务区域经济发展、赢得未来发展主动权的必然选择和战略性基础设施。</w:t>
      </w:r>
    </w:p>
    <w:p w14:paraId="1EBAD3B0">
      <w:pPr>
        <w:spacing w:line="360" w:lineRule="auto"/>
        <w:ind w:firstLine="480" w:firstLineChars="200"/>
        <w:rPr>
          <w:sz w:val="24"/>
        </w:rPr>
      </w:pPr>
    </w:p>
    <w:p w14:paraId="0057D431">
      <w:pPr>
        <w:spacing w:line="360" w:lineRule="auto"/>
        <w:ind w:firstLine="480" w:firstLineChars="200"/>
        <w:rPr>
          <w:sz w:val="24"/>
        </w:rPr>
      </w:pPr>
      <w:r>
        <w:rPr>
          <w:sz w:val="24"/>
        </w:rPr>
        <w:t>具体到政策落地上，职业教育的数字化转型呈现出三大明确导向，如</w:t>
      </w:r>
      <w:r>
        <w:rPr>
          <w:rFonts w:hint="eastAsia"/>
          <w:sz w:val="24"/>
        </w:rPr>
        <w:t>下列</w:t>
      </w:r>
      <w:r>
        <w:rPr>
          <w:sz w:val="24"/>
        </w:rPr>
        <w:t>图</w:t>
      </w:r>
      <w:r>
        <w:rPr>
          <w:rFonts w:hint="eastAsia"/>
          <w:sz w:val="24"/>
        </w:rPr>
        <w:t>1、表1所示。</w:t>
      </w:r>
    </w:p>
    <w:p w14:paraId="447419B1">
      <w:pPr>
        <w:spacing w:line="360" w:lineRule="auto"/>
      </w:pPr>
    </w:p>
    <w:p w14:paraId="350A767E">
      <w:pPr>
        <w:spacing w:line="360" w:lineRule="auto"/>
        <w:jc w:val="center"/>
      </w:pPr>
      <w:r>
        <w:drawing>
          <wp:inline distT="0" distB="0" distL="114300" distR="114300">
            <wp:extent cx="5256530" cy="2988310"/>
            <wp:effectExtent l="0" t="0" r="1270" b="8890"/>
            <wp:docPr id="1" name="图表 1" descr="7b0a202020202263686172745265734964223a202234353338343530220a7d0a"/>
            <wp:cNvGraphicFramePr/>
            <a:graphic xmlns:a="http://schemas.openxmlformats.org/drawingml/2006/main">
              <a:graphicData uri="http://schemas.openxmlformats.org/drawingml/2006/chart">
                <c:chart xmlns:c="http://schemas.openxmlformats.org/drawingml/2006/chart" xmlns:r="http://schemas.openxmlformats.org/officeDocument/2006/relationships" r:id="rId5"/>
              </a:graphicData>
            </a:graphic>
          </wp:inline>
        </w:drawing>
      </w:r>
    </w:p>
    <w:p w14:paraId="6D7083CE">
      <w:pPr>
        <w:spacing w:line="360" w:lineRule="auto"/>
        <w:jc w:val="center"/>
        <w:rPr>
          <w:b/>
          <w:bCs/>
        </w:rPr>
      </w:pPr>
      <w:r>
        <w:rPr>
          <w:rFonts w:hint="eastAsia"/>
          <w:b/>
          <w:bCs/>
        </w:rPr>
        <w:t>图1 职业教育数字化转型政策导向</w:t>
      </w:r>
    </w:p>
    <w:p w14:paraId="107D7358">
      <w:pPr>
        <w:spacing w:line="360" w:lineRule="auto"/>
        <w:jc w:val="center"/>
        <w:rPr>
          <w:b/>
          <w:bCs/>
        </w:rPr>
      </w:pPr>
    </w:p>
    <w:p w14:paraId="37BEB409">
      <w:pPr>
        <w:spacing w:line="360" w:lineRule="auto"/>
        <w:jc w:val="center"/>
        <w:rPr>
          <w:b/>
          <w:bCs/>
        </w:rPr>
      </w:pPr>
      <w:r>
        <w:rPr>
          <w:rFonts w:hint="eastAsia"/>
          <w:b/>
          <w:bCs/>
        </w:rPr>
        <w:t>表1 职业教育数字化转型政策导向与平台价值映射</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18"/>
        <w:gridCol w:w="2552"/>
        <w:gridCol w:w="3452"/>
      </w:tblGrid>
      <w:tr w14:paraId="613D0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8" w:type="dxa"/>
          </w:tcPr>
          <w:p w14:paraId="2A0D9889">
            <w:pPr>
              <w:spacing w:line="360" w:lineRule="auto"/>
              <w:jc w:val="center"/>
              <w:rPr>
                <w:b/>
                <w:bCs/>
                <w:sz w:val="24"/>
              </w:rPr>
            </w:pPr>
            <w:r>
              <w:rPr>
                <w:rFonts w:hint="eastAsia"/>
                <w:b/>
                <w:bCs/>
                <w:sz w:val="24"/>
              </w:rPr>
              <w:t>三大导向</w:t>
            </w:r>
          </w:p>
        </w:tc>
        <w:tc>
          <w:tcPr>
            <w:tcW w:w="2552" w:type="dxa"/>
          </w:tcPr>
          <w:p w14:paraId="66A17C62">
            <w:pPr>
              <w:spacing w:line="360" w:lineRule="auto"/>
              <w:jc w:val="center"/>
              <w:rPr>
                <w:b/>
                <w:bCs/>
                <w:sz w:val="24"/>
              </w:rPr>
            </w:pPr>
            <w:r>
              <w:rPr>
                <w:b/>
                <w:bCs/>
                <w:sz w:val="24"/>
              </w:rPr>
              <w:t>政策要求</w:t>
            </w:r>
          </w:p>
        </w:tc>
        <w:tc>
          <w:tcPr>
            <w:tcW w:w="3452" w:type="dxa"/>
          </w:tcPr>
          <w:p w14:paraId="5C2DB9C8">
            <w:pPr>
              <w:spacing w:line="360" w:lineRule="auto"/>
              <w:jc w:val="center"/>
              <w:rPr>
                <w:b/>
                <w:bCs/>
                <w:sz w:val="24"/>
              </w:rPr>
            </w:pPr>
            <w:r>
              <w:rPr>
                <w:b/>
                <w:bCs/>
                <w:sz w:val="24"/>
              </w:rPr>
              <w:t>平台支撑</w:t>
            </w:r>
          </w:p>
        </w:tc>
      </w:tr>
      <w:tr w14:paraId="0200C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8" w:type="dxa"/>
          </w:tcPr>
          <w:p w14:paraId="7CA8EC91">
            <w:pPr>
              <w:spacing w:line="360" w:lineRule="auto"/>
              <w:jc w:val="left"/>
              <w:rPr>
                <w:b/>
                <w:bCs/>
                <w:sz w:val="24"/>
              </w:rPr>
            </w:pPr>
            <w:r>
              <w:rPr>
                <w:rFonts w:hint="eastAsia"/>
                <w:b/>
                <w:bCs/>
                <w:sz w:val="24"/>
              </w:rPr>
              <w:t>导向一：</w:t>
            </w:r>
          </w:p>
          <w:p w14:paraId="77886125">
            <w:pPr>
              <w:spacing w:line="360" w:lineRule="auto"/>
              <w:jc w:val="left"/>
              <w:rPr>
                <w:b/>
                <w:bCs/>
                <w:sz w:val="24"/>
              </w:rPr>
            </w:pPr>
            <w:r>
              <w:rPr>
                <w:rFonts w:hint="eastAsia"/>
                <w:b/>
                <w:bCs/>
                <w:sz w:val="24"/>
              </w:rPr>
              <w:t>从“标准化培养”到“个性化成才”</w:t>
            </w:r>
          </w:p>
        </w:tc>
        <w:tc>
          <w:tcPr>
            <w:tcW w:w="2552" w:type="dxa"/>
          </w:tcPr>
          <w:p w14:paraId="4603CCFD">
            <w:pPr>
              <w:spacing w:line="360" w:lineRule="auto"/>
              <w:jc w:val="left"/>
              <w:rPr>
                <w:sz w:val="24"/>
              </w:rPr>
            </w:pPr>
            <w:r>
              <w:rPr>
                <w:sz w:val="24"/>
              </w:rPr>
              <w:t>因材施教，服务学生全面发展。</w:t>
            </w:r>
          </w:p>
        </w:tc>
        <w:tc>
          <w:tcPr>
            <w:tcW w:w="3452" w:type="dxa"/>
          </w:tcPr>
          <w:p w14:paraId="1ADBEC31">
            <w:pPr>
              <w:spacing w:line="360" w:lineRule="auto"/>
              <w:jc w:val="left"/>
              <w:rPr>
                <w:sz w:val="24"/>
              </w:rPr>
            </w:pPr>
            <w:r>
              <w:rPr>
                <w:sz w:val="24"/>
              </w:rPr>
              <w:t>通过数据湖与学生画像，实现学情精准分析；通过AI应用开发，支持个性化学习路径与资源推荐。</w:t>
            </w:r>
          </w:p>
        </w:tc>
      </w:tr>
      <w:tr w14:paraId="2C03E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8" w:type="dxa"/>
          </w:tcPr>
          <w:p w14:paraId="7290A479">
            <w:pPr>
              <w:spacing w:line="360" w:lineRule="auto"/>
              <w:jc w:val="left"/>
              <w:rPr>
                <w:b/>
                <w:bCs/>
                <w:sz w:val="24"/>
              </w:rPr>
            </w:pPr>
            <w:r>
              <w:rPr>
                <w:rFonts w:hint="eastAsia"/>
                <w:b/>
                <w:bCs/>
                <w:sz w:val="24"/>
              </w:rPr>
              <w:t>导向二：</w:t>
            </w:r>
          </w:p>
          <w:p w14:paraId="32029C03">
            <w:pPr>
              <w:spacing w:line="360" w:lineRule="auto"/>
              <w:jc w:val="left"/>
              <w:rPr>
                <w:b/>
                <w:bCs/>
                <w:sz w:val="24"/>
              </w:rPr>
            </w:pPr>
            <w:r>
              <w:rPr>
                <w:b/>
                <w:bCs/>
                <w:sz w:val="24"/>
              </w:rPr>
              <w:t>从“资源建设”到“能力赋能”</w:t>
            </w:r>
          </w:p>
        </w:tc>
        <w:tc>
          <w:tcPr>
            <w:tcW w:w="2552" w:type="dxa"/>
          </w:tcPr>
          <w:p w14:paraId="2927F8C8">
            <w:pPr>
              <w:spacing w:line="360" w:lineRule="auto"/>
              <w:jc w:val="left"/>
              <w:rPr>
                <w:sz w:val="24"/>
              </w:rPr>
            </w:pPr>
            <w:r>
              <w:rPr>
                <w:sz w:val="24"/>
              </w:rPr>
              <w:t>提升师生数字素养与创新能力。</w:t>
            </w:r>
          </w:p>
        </w:tc>
        <w:tc>
          <w:tcPr>
            <w:tcW w:w="3452" w:type="dxa"/>
          </w:tcPr>
          <w:p w14:paraId="7D7FD463">
            <w:pPr>
              <w:spacing w:line="360" w:lineRule="auto"/>
              <w:jc w:val="left"/>
              <w:rPr>
                <w:sz w:val="24"/>
              </w:rPr>
            </w:pPr>
            <w:r>
              <w:rPr>
                <w:sz w:val="24"/>
              </w:rPr>
              <w:t>通过低代码开发环境，将AI工具交到师生手中，使其能自主构建解决教学与管理实际问题的智能应用。</w:t>
            </w:r>
          </w:p>
        </w:tc>
      </w:tr>
      <w:tr w14:paraId="158A88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8" w:type="dxa"/>
          </w:tcPr>
          <w:p w14:paraId="2C0067EB">
            <w:pPr>
              <w:spacing w:line="360" w:lineRule="auto"/>
              <w:jc w:val="left"/>
              <w:rPr>
                <w:b/>
                <w:bCs/>
                <w:sz w:val="24"/>
              </w:rPr>
            </w:pPr>
            <w:r>
              <w:rPr>
                <w:rFonts w:hint="eastAsia"/>
                <w:b/>
                <w:bCs/>
                <w:sz w:val="24"/>
              </w:rPr>
              <w:t>导向三：</w:t>
            </w:r>
          </w:p>
          <w:p w14:paraId="269F7C23">
            <w:pPr>
              <w:spacing w:line="360" w:lineRule="auto"/>
              <w:jc w:val="left"/>
              <w:rPr>
                <w:b/>
                <w:bCs/>
                <w:sz w:val="24"/>
              </w:rPr>
            </w:pPr>
            <w:r>
              <w:rPr>
                <w:b/>
                <w:bCs/>
                <w:sz w:val="24"/>
              </w:rPr>
              <w:t>从“校园管理”到“产教融合智治”</w:t>
            </w:r>
          </w:p>
        </w:tc>
        <w:tc>
          <w:tcPr>
            <w:tcW w:w="2552" w:type="dxa"/>
          </w:tcPr>
          <w:p w14:paraId="4F6A156B">
            <w:pPr>
              <w:spacing w:line="360" w:lineRule="auto"/>
              <w:jc w:val="left"/>
              <w:rPr>
                <w:sz w:val="24"/>
              </w:rPr>
            </w:pPr>
            <w:r>
              <w:rPr>
                <w:sz w:val="24"/>
              </w:rPr>
              <w:t>深化产教融合、校企合作，提升治理水平。</w:t>
            </w:r>
          </w:p>
        </w:tc>
        <w:tc>
          <w:tcPr>
            <w:tcW w:w="3452" w:type="dxa"/>
          </w:tcPr>
          <w:p w14:paraId="33C48762">
            <w:pPr>
              <w:spacing w:line="360" w:lineRule="auto"/>
              <w:jc w:val="left"/>
              <w:rPr>
                <w:sz w:val="24"/>
              </w:rPr>
            </w:pPr>
            <w:r>
              <w:rPr>
                <w:sz w:val="24"/>
              </w:rPr>
              <w:t>通过产业人才数据服务与知识图谱，动态对接产业需求；通过智能决策模型，支持专业设置优化、人才培养方案调整等科学决策。</w:t>
            </w:r>
          </w:p>
        </w:tc>
      </w:tr>
    </w:tbl>
    <w:p w14:paraId="7EA19969">
      <w:pPr>
        <w:spacing w:line="360" w:lineRule="auto"/>
        <w:ind w:firstLine="480" w:firstLineChars="200"/>
        <w:rPr>
          <w:sz w:val="24"/>
        </w:rPr>
      </w:pPr>
      <w:r>
        <w:rPr>
          <w:rFonts w:hint="eastAsia"/>
          <w:sz w:val="24"/>
        </w:rPr>
        <w:t>此外，以生成式人工智能（AIGC）为代表的技术突破，正以前所未有的方式重塑知识获取、内容创造与交互协作的过程。它为个性化学习辅导、智能课程生成、跨学科项目式学习、沉浸式虚拟实训等提供了前所未有的可能性。然而，技术的“双刃剑”效应也带来了数据安全、学术诚信、伦理规范等新的挑战。职业院校亟需一个自主可控、可信、可管理的平台，来安全、合规、高效地整合与调度各类大模型能力及数据资产，使其在严格遵守教育伦理与数据安全法规的前提下，服务于教学模式创新、科研水平提升与管理效能革命。本项目所要构建的，正是这样一个符合国家战略方向、顺应技术发展趋势、切中学校转型核心痛点的“AI能力基座”与“创新操作系统”。</w:t>
      </w:r>
    </w:p>
    <w:p w14:paraId="18875818">
      <w:pPr>
        <w:spacing w:line="360" w:lineRule="auto"/>
        <w:ind w:firstLine="480" w:firstLineChars="200"/>
        <w:rPr>
          <w:sz w:val="24"/>
        </w:rPr>
      </w:pPr>
    </w:p>
    <w:p w14:paraId="1B4B4971">
      <w:pPr>
        <w:spacing w:line="360" w:lineRule="auto"/>
        <w:ind w:firstLine="480" w:firstLineChars="200"/>
        <w:rPr>
          <w:sz w:val="24"/>
        </w:rPr>
      </w:pPr>
      <w:r>
        <w:rPr>
          <w:rFonts w:hint="eastAsia"/>
          <w:sz w:val="24"/>
        </w:rPr>
        <w:t>从更广阔的视角看，地方经济的高质量发展离不开高素质技术技能人才的坚实支撑。常州作为长三角重要的先进制造业基地和长三角中轴枢纽，产业升级对人才的数字化素养、智能化技能和创新能力的要求日益迫切。本平台的建设，正是学校服务地方经济社会发展战略、提升人才培养与区域产业需求适配性的关键数字化基础设施。它旨在打通“产业-教育-数据”的闭环，通过平台汇聚的产业人才需求数据与校内人才培养过程数据，进行精准比对与分析，从而动态调整专业方向、优化课程内容、改革培养模式。这将有助于形成“产业需求数据驱动平台智能应用，平台应用赋能人才培养过程优化，高质量人才输出反哺产业升级”的良性循环，使学校真正成为区域产业转型升级的“人才泵”和“创新源”，为“数字常州”和“制造强市”建设贡献不可替代的职教力量。</w:t>
      </w:r>
    </w:p>
    <w:p w14:paraId="7225D058">
      <w:pPr>
        <w:spacing w:line="360" w:lineRule="auto"/>
        <w:ind w:firstLine="480" w:firstLineChars="200"/>
        <w:rPr>
          <w:sz w:val="24"/>
        </w:rPr>
      </w:pPr>
    </w:p>
    <w:p w14:paraId="115EA514">
      <w:pPr>
        <w:spacing w:line="360" w:lineRule="auto"/>
        <w:ind w:firstLine="480" w:firstLineChars="200"/>
        <w:rPr>
          <w:sz w:val="24"/>
        </w:rPr>
      </w:pPr>
    </w:p>
    <w:p w14:paraId="324D3AC9">
      <w:pPr>
        <w:numPr>
          <w:ilvl w:val="2"/>
          <w:numId w:val="1"/>
        </w:numPr>
        <w:spacing w:line="360" w:lineRule="auto"/>
        <w:outlineLvl w:val="2"/>
        <w:rPr>
          <w:b/>
          <w:bCs/>
          <w:sz w:val="28"/>
          <w:szCs w:val="28"/>
        </w:rPr>
      </w:pPr>
      <w:bookmarkStart w:id="3" w:name="_Toc221113228"/>
      <w:r>
        <w:rPr>
          <w:b/>
          <w:bCs/>
          <w:sz w:val="28"/>
          <w:szCs w:val="28"/>
        </w:rPr>
        <w:t>从数据沉睡到智能涌现的迫切需求</w:t>
      </w:r>
      <w:bookmarkEnd w:id="3"/>
    </w:p>
    <w:p w14:paraId="57D4F67A">
      <w:pPr>
        <w:spacing w:line="360" w:lineRule="auto"/>
      </w:pPr>
    </w:p>
    <w:p w14:paraId="20008EC6">
      <w:pPr>
        <w:spacing w:line="360" w:lineRule="auto"/>
        <w:ind w:firstLine="480" w:firstLineChars="200"/>
        <w:rPr>
          <w:sz w:val="24"/>
        </w:rPr>
      </w:pPr>
      <w:r>
        <w:rPr>
          <w:sz w:val="24"/>
        </w:rPr>
        <w:t>常州工程职业技术学院经过长期信息化建设，已构建了包括教务管理、学生工作、后勤服务等在内的多个业务系统，并积累了可观的校本数据资源。然而，大量数据资源仍处于“沉睡”或“半沉睡”状态，未能有效转化为支撑教学改革、管理创新和科学决策的智能化能力。</w:t>
      </w:r>
    </w:p>
    <w:p w14:paraId="40111ABF">
      <w:pPr>
        <w:spacing w:line="360" w:lineRule="auto"/>
        <w:ind w:firstLine="480" w:firstLineChars="200"/>
        <w:rPr>
          <w:sz w:val="24"/>
        </w:rPr>
      </w:pPr>
      <w:r>
        <w:rPr>
          <w:sz w:val="24"/>
        </w:rPr>
        <w:t>具体表现为以下四个维度的关键痛点</w:t>
      </w:r>
      <w:r>
        <w:rPr>
          <w:rFonts w:hint="eastAsia"/>
          <w:sz w:val="24"/>
        </w:rPr>
        <w:t>:</w:t>
      </w:r>
    </w:p>
    <w:p w14:paraId="6B3BDBF0">
      <w:pPr>
        <w:spacing w:line="360" w:lineRule="auto"/>
      </w:pPr>
    </w:p>
    <w:p w14:paraId="72717C1F">
      <w:pPr>
        <w:numPr>
          <w:ilvl w:val="3"/>
          <w:numId w:val="1"/>
        </w:numPr>
        <w:spacing w:line="360" w:lineRule="auto"/>
        <w:outlineLvl w:val="3"/>
        <w:rPr>
          <w:b/>
          <w:bCs/>
          <w:sz w:val="24"/>
        </w:rPr>
      </w:pPr>
      <w:bookmarkStart w:id="4" w:name="_Toc221113229"/>
      <w:r>
        <w:rPr>
          <w:b/>
          <w:bCs/>
          <w:sz w:val="24"/>
        </w:rPr>
        <w:t>数据价值释放的“最后一公里”障碍</w:t>
      </w:r>
      <w:bookmarkEnd w:id="4"/>
    </w:p>
    <w:p w14:paraId="06B3ADDF">
      <w:pPr>
        <w:spacing w:line="360" w:lineRule="auto"/>
      </w:pPr>
    </w:p>
    <w:p w14:paraId="5087C36D">
      <w:pPr>
        <w:spacing w:line="360" w:lineRule="auto"/>
        <w:ind w:firstLine="480" w:firstLineChars="200"/>
        <w:rPr>
          <w:sz w:val="24"/>
        </w:rPr>
      </w:pPr>
      <w:r>
        <w:rPr>
          <w:sz w:val="24"/>
        </w:rPr>
        <w:t>当前学校各类业务系统产生的数据，虽然在技术层面已实现一定程度的集中存储，但在业务应用层面仍存在显著障碍。教学管理部门需要一份跨系统的学生综合素养分析报告时，往往需要技术部门投入数周时间进行数据提取、清洗和加工。这种高度耦合、响应滞后的模式，使得数据价值难以及时转化为业务洞察，形成了“数据在库中，决策在雾中”的困境</w:t>
      </w:r>
      <w:r>
        <w:rPr>
          <w:rFonts w:hint="eastAsia"/>
          <w:sz w:val="24"/>
        </w:rPr>
        <w:t>，传统数据应用模式与平台赋能模式的对比如图2所示</w:t>
      </w:r>
      <w:r>
        <w:rPr>
          <w:sz w:val="24"/>
        </w:rPr>
        <w:t>。</w:t>
      </w:r>
    </w:p>
    <w:p w14:paraId="03610B16">
      <w:pPr>
        <w:spacing w:line="360" w:lineRule="auto"/>
        <w:jc w:val="center"/>
        <w:rPr>
          <w:b/>
          <w:bCs/>
        </w:rPr>
      </w:pPr>
      <w:r>
        <w:rPr>
          <w:sz w:val="24"/>
        </w:rPr>
        <w:drawing>
          <wp:anchor distT="0" distB="0" distL="114300" distR="114300" simplePos="0" relativeHeight="251659264" behindDoc="0" locked="0" layoutInCell="1" allowOverlap="1">
            <wp:simplePos x="0" y="0"/>
            <wp:positionH relativeFrom="column">
              <wp:posOffset>-173990</wp:posOffset>
            </wp:positionH>
            <wp:positionV relativeFrom="paragraph">
              <wp:posOffset>146050</wp:posOffset>
            </wp:positionV>
            <wp:extent cx="5584825" cy="3152775"/>
            <wp:effectExtent l="0" t="0" r="0" b="9525"/>
            <wp:wrapSquare wrapText="bothSides"/>
            <wp:docPr id="4" name="图片 4" descr="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1.2.1"/>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5584825" cy="3152775"/>
                    </a:xfrm>
                    <a:prstGeom prst="rect">
                      <a:avLst/>
                    </a:prstGeom>
                  </pic:spPr>
                </pic:pic>
              </a:graphicData>
            </a:graphic>
          </wp:anchor>
        </w:drawing>
      </w:r>
      <w:r>
        <w:rPr>
          <w:rFonts w:hint="eastAsia"/>
          <w:b/>
          <w:bCs/>
        </w:rPr>
        <w:t>图2 传统数据应用模式与平台赋能模式的对比</w:t>
      </w:r>
    </w:p>
    <w:p w14:paraId="3CF30057">
      <w:pPr>
        <w:spacing w:line="360" w:lineRule="auto"/>
      </w:pPr>
    </w:p>
    <w:p w14:paraId="5160F008">
      <w:pPr>
        <w:numPr>
          <w:ilvl w:val="3"/>
          <w:numId w:val="1"/>
        </w:numPr>
        <w:spacing w:line="360" w:lineRule="auto"/>
        <w:outlineLvl w:val="3"/>
        <w:rPr>
          <w:b/>
          <w:bCs/>
          <w:sz w:val="24"/>
        </w:rPr>
      </w:pPr>
      <w:bookmarkStart w:id="5" w:name="_Toc221113230"/>
      <w:r>
        <w:rPr>
          <w:b/>
          <w:bCs/>
          <w:sz w:val="24"/>
        </w:rPr>
        <w:t>智能化应用创新的“高门槛”困境</w:t>
      </w:r>
      <w:bookmarkEnd w:id="5"/>
    </w:p>
    <w:p w14:paraId="0EE5485D">
      <w:pPr>
        <w:spacing w:line="360" w:lineRule="auto"/>
      </w:pPr>
    </w:p>
    <w:p w14:paraId="0D15C904">
      <w:pPr>
        <w:spacing w:line="360" w:lineRule="auto"/>
        <w:ind w:firstLine="480" w:firstLineChars="200"/>
        <w:rPr>
          <w:sz w:val="24"/>
        </w:rPr>
      </w:pPr>
      <w:r>
        <w:rPr>
          <w:rFonts w:hint="eastAsia"/>
          <w:sz w:val="24"/>
        </w:rPr>
        <w:t>人工智能技术在教学、管理、服务等职教场景中的应用潜力巨大，涵盖了从个性化学习路径推荐、智能实训指导、学术不端行为检测，到招生趋势预测、设备预测性维护、实习岗位智能匹配、课程资源自适应推荐等丰富场景。然而，在当前阶段，从业务灵感的萌发到一个真正可用、可集成、可持续运维的智能应用原型落地，普遍存在显著的“技术鸿沟”与“协作断层”，严重制约了学校内部创新能力的释放。</w:t>
      </w:r>
    </w:p>
    <w:p w14:paraId="17CD5EE5">
      <w:pPr>
        <w:spacing w:line="360" w:lineRule="auto"/>
        <w:ind w:firstLine="480" w:firstLineChars="200"/>
        <w:rPr>
          <w:sz w:val="24"/>
        </w:rPr>
      </w:pPr>
    </w:p>
    <w:p w14:paraId="3CBE32C3">
      <w:pPr>
        <w:spacing w:line="360" w:lineRule="auto"/>
        <w:ind w:firstLine="480" w:firstLineChars="200"/>
        <w:rPr>
          <w:sz w:val="24"/>
        </w:rPr>
      </w:pPr>
      <w:r>
        <w:rPr>
          <w:rFonts w:hint="eastAsia"/>
          <w:sz w:val="24"/>
        </w:rPr>
        <w:t>具体而言，这种“高门槛”困境主要体现在以下几个层面：</w:t>
      </w:r>
    </w:p>
    <w:p w14:paraId="67AE25D3">
      <w:pPr>
        <w:spacing w:line="360" w:lineRule="auto"/>
        <w:ind w:firstLine="480" w:firstLineChars="200"/>
        <w:rPr>
          <w:sz w:val="24"/>
        </w:rPr>
      </w:pPr>
    </w:p>
    <w:p w14:paraId="1EEDF854">
      <w:pPr>
        <w:spacing w:line="360" w:lineRule="auto"/>
        <w:ind w:firstLine="480" w:firstLineChars="200"/>
        <w:rPr>
          <w:sz w:val="24"/>
        </w:rPr>
      </w:pPr>
      <w:r>
        <w:rPr>
          <w:rFonts w:hint="eastAsia"/>
          <w:sz w:val="24"/>
        </w:rPr>
        <w:t>第一，技术栈复杂，跨领域人才稀缺。 开发一个功能相对完整的智能应用，例如一个基于学生行为数据的“学业预警与干预推荐系统”，不仅需要理解教育业务逻辑，还涉及多环节技术专长：数据工程师需从异构源系统中抽取和清洗数据；算法工程师负责特征工程、模型选择与训练；前端工程师开发交互界面；后端工程师实现服务接口与业务逻辑；测试工程师保障功能与性能；运维工程师负责部署与监控。在职业院校中，同时具备教育信息化、数据科学、软件开发与AI算法能力的复合型人才极为稀缺，组建一支能够覆盖全链条的专职团队成本高昂且周期漫长。</w:t>
      </w:r>
    </w:p>
    <w:p w14:paraId="2A5C7ED7">
      <w:pPr>
        <w:spacing w:line="360" w:lineRule="auto"/>
        <w:ind w:firstLine="480" w:firstLineChars="200"/>
        <w:rPr>
          <w:sz w:val="24"/>
        </w:rPr>
      </w:pPr>
    </w:p>
    <w:p w14:paraId="397ACD28">
      <w:pPr>
        <w:spacing w:line="360" w:lineRule="auto"/>
        <w:ind w:firstLine="480" w:firstLineChars="200"/>
        <w:rPr>
          <w:sz w:val="24"/>
        </w:rPr>
      </w:pPr>
      <w:r>
        <w:rPr>
          <w:rFonts w:hint="eastAsia"/>
          <w:sz w:val="24"/>
        </w:rPr>
        <w:t>第二，开发流程冗长，试错成本高企。 传统智能应用的开发遵循“需求分析-数据准备-模型实验-系统开发-部署上线”的线性流程，一个想法从提出到可用原型往往需要数月时间。过程中任何环节的调整（如业务规则变更、模型效果未达预期、数据口径变动）都可能导致前期工作返工。这种高延迟的反馈循环使得一线教师和管理人员难以快速验证想法的可行性，挫伤了其提出创新需求的积极性。许多有价值的场景构思由于无法在短期内看到实效而被搁置，形成了“有想法、难落地”的普遍现象。</w:t>
      </w:r>
    </w:p>
    <w:p w14:paraId="371D4336">
      <w:pPr>
        <w:spacing w:line="360" w:lineRule="auto"/>
        <w:ind w:firstLine="480" w:firstLineChars="200"/>
        <w:rPr>
          <w:sz w:val="24"/>
        </w:rPr>
      </w:pPr>
    </w:p>
    <w:p w14:paraId="78A8339F">
      <w:pPr>
        <w:spacing w:line="360" w:lineRule="auto"/>
        <w:ind w:firstLine="480" w:firstLineChars="200"/>
        <w:rPr>
          <w:sz w:val="24"/>
        </w:rPr>
      </w:pPr>
      <w:r>
        <w:rPr>
          <w:rFonts w:hint="eastAsia"/>
          <w:sz w:val="24"/>
        </w:rPr>
        <w:t>第三，工具链割裂，协同效率低下。 当前市场上各类AI开发工具、数据平台、业务系统之间往往缺乏统一的标准与集成，形成“工具孤岛”。业务人员可能用Excel分析数据，算法团队用Python/Jupyter进行建模，开发团队则使用另一套IDE和框架进行应用实现。数据、模型、代码、配置分散在不同环境中，版本管理困难，协作过程依赖大量手工沟通与文件传递，效率低下且容易出错。此外，模型的持续迭代与应用的持续集成之间也常常脱节，导致“模型更新慢、应用迭代僵化”。</w:t>
      </w:r>
    </w:p>
    <w:p w14:paraId="67D16620">
      <w:pPr>
        <w:spacing w:line="360" w:lineRule="auto"/>
        <w:ind w:firstLine="480" w:firstLineChars="200"/>
        <w:rPr>
          <w:sz w:val="24"/>
        </w:rPr>
      </w:pPr>
    </w:p>
    <w:p w14:paraId="6747D421">
      <w:pPr>
        <w:spacing w:line="360" w:lineRule="auto"/>
        <w:ind w:firstLine="480" w:firstLineChars="200"/>
        <w:rPr>
          <w:sz w:val="24"/>
        </w:rPr>
      </w:pPr>
      <w:r>
        <w:rPr>
          <w:rFonts w:hint="eastAsia"/>
          <w:sz w:val="24"/>
        </w:rPr>
        <w:t>第四，资源管理复杂，运维负担沉重。 智能应用，尤其是涉及深度学习模型的场景，对计算资源（如GPU）、存储资源及网络带宽有特定要求。学校缺乏统一的资源调度与监控平台，导致资源分配不合理、利用率低下。同时，智能应用上线后的模型性能衰减监测、数据漂移检测、版本滚动升级、安全补丁管理等运维工作专业性强，传统IT运维团队缺乏相应经验与工具，难以保障智能服务的长期稳定与可靠。</w:t>
      </w:r>
    </w:p>
    <w:p w14:paraId="49A1F584">
      <w:pPr>
        <w:spacing w:line="360" w:lineRule="auto"/>
        <w:ind w:firstLine="480" w:firstLineChars="200"/>
        <w:rPr>
          <w:sz w:val="24"/>
        </w:rPr>
      </w:pPr>
    </w:p>
    <w:p w14:paraId="6554A8A2">
      <w:pPr>
        <w:spacing w:line="360" w:lineRule="auto"/>
        <w:ind w:firstLine="480" w:firstLineChars="200"/>
        <w:rPr>
          <w:sz w:val="24"/>
        </w:rPr>
      </w:pPr>
      <w:r>
        <w:rPr>
          <w:rFonts w:hint="eastAsia"/>
          <w:sz w:val="24"/>
        </w:rPr>
        <w:t>第五，安全与合规顾虑，进一步抬高准入壁垒。 教育数据包含大量敏感个人信息，AI应用的应用需严格遵守《网络安全法》《个人信息保护法》以及教育行业数据管理规范。在缺乏内置安全与合规保障机制的开发环境下，团队需额外投入大量精力进行数据脱敏、隐私计算、算法审计、访问控制等方面的设计与实现，这不仅增加了技术复杂度，也拉长了交付周期，使得许多部门对尝试AI应用望而却步。</w:t>
      </w:r>
    </w:p>
    <w:p w14:paraId="7BD64D54">
      <w:pPr>
        <w:spacing w:line="360" w:lineRule="auto"/>
        <w:ind w:firstLine="480" w:firstLineChars="200"/>
        <w:rPr>
          <w:sz w:val="24"/>
        </w:rPr>
      </w:pPr>
    </w:p>
    <w:p w14:paraId="676180BB">
      <w:pPr>
        <w:spacing w:line="360" w:lineRule="auto"/>
        <w:ind w:firstLine="480" w:firstLineChars="200"/>
        <w:rPr>
          <w:sz w:val="24"/>
        </w:rPr>
      </w:pPr>
      <w:r>
        <w:rPr>
          <w:rFonts w:hint="eastAsia"/>
          <w:sz w:val="24"/>
        </w:rPr>
        <w:t>综上所述，职业院校内部蕴藏着大量由一线教育者洞察驱动的智能化应用需求，但受限于高昂的技术门槛、冗长的开发周期、割裂的协作工具、复杂的运维要求以及严格的安全合规约束，这些需求难以快速转化为切实提升教学、管理、服务效能的数字化工具。学校迫切需要一个能够降低技术创新壁垒、贯通数据-算法-应用-运维全链路、提供安全合规内生保障的普惠化AI集成与开发环境。该环境应能让业务专家聚焦于问题定义与效果评估，将技术复杂性封装为可视化、模块化、可编排的积木式组件，从而大幅缩短从创意到原型的验证周期，释放校内全员参与数字化创新的巨大潜能，真正推动人工智能技术与职业教育核心业务的深度融合。</w:t>
      </w:r>
    </w:p>
    <w:p w14:paraId="22947175">
      <w:pPr>
        <w:spacing w:line="360" w:lineRule="auto"/>
      </w:pPr>
    </w:p>
    <w:p w14:paraId="33D16215">
      <w:pPr>
        <w:numPr>
          <w:ilvl w:val="3"/>
          <w:numId w:val="1"/>
        </w:numPr>
        <w:spacing w:line="360" w:lineRule="auto"/>
        <w:outlineLvl w:val="3"/>
        <w:rPr>
          <w:b/>
          <w:bCs/>
          <w:sz w:val="24"/>
        </w:rPr>
      </w:pPr>
      <w:bookmarkStart w:id="6" w:name="_Toc221113231"/>
      <w:r>
        <w:rPr>
          <w:b/>
          <w:bCs/>
          <w:sz w:val="24"/>
        </w:rPr>
        <w:t>知识资产管理的“碎片化”状态</w:t>
      </w:r>
      <w:bookmarkEnd w:id="6"/>
    </w:p>
    <w:p w14:paraId="02AC8B89">
      <w:pPr>
        <w:spacing w:line="360" w:lineRule="auto"/>
      </w:pPr>
    </w:p>
    <w:p w14:paraId="3071BA52">
      <w:pPr>
        <w:spacing w:line="360" w:lineRule="auto"/>
        <w:ind w:firstLine="480" w:firstLineChars="200"/>
        <w:rPr>
          <w:sz w:val="24"/>
        </w:rPr>
      </w:pPr>
      <w:r>
        <w:rPr>
          <w:rFonts w:hint="eastAsia"/>
          <w:sz w:val="24"/>
        </w:rPr>
        <w:t>学校在长期办学与产教融合过程中，沉淀了大量高价值的隐性及显性知识资产，构成了学校核心竞争力的重要组成部分。这些资产类型多样，主要包括：政策标准类，如国家与地方职业教育改革发展政策文件、各专业国家教学标准与实训条件建设标准；教学资源类，如丰富的校本课程大纲、精品在线课程视频、特色教案与课件、实训项目指导书、试题库与考核方案；技术经验类，如校企合作开发的典型技术案例、先进工艺手册、设备操作与维护指南、技术难题解决方案汇编；人才与方法类，如优秀教师的教学方法论与课堂实录、专业带头人的专业建设思路、技能大赛获奖师生的训练心得与经验总结、优秀毕业生成长案例；产业动态类，如区域重点产业发展白皮书、行业技术发展趋势报告、岗位能力需求变化分析、合作企业的新技术新材料介绍等。</w:t>
      </w:r>
    </w:p>
    <w:p w14:paraId="1605B46F">
      <w:pPr>
        <w:spacing w:line="360" w:lineRule="auto"/>
        <w:ind w:firstLine="480" w:firstLineChars="200"/>
        <w:rPr>
          <w:sz w:val="24"/>
        </w:rPr>
      </w:pPr>
    </w:p>
    <w:p w14:paraId="73E7CC3B">
      <w:pPr>
        <w:spacing w:line="360" w:lineRule="auto"/>
        <w:ind w:firstLine="480" w:firstLineChars="200"/>
        <w:rPr>
          <w:sz w:val="24"/>
        </w:rPr>
      </w:pPr>
      <w:r>
        <w:rPr>
          <w:rFonts w:hint="eastAsia"/>
          <w:sz w:val="24"/>
        </w:rPr>
        <w:t>然而，当前这些宝贵知识资产的管理与利用状态普遍呈现为“碎片化”，具体表现在以下几个层面：</w:t>
      </w:r>
    </w:p>
    <w:p w14:paraId="1E92DF55">
      <w:pPr>
        <w:spacing w:line="360" w:lineRule="auto"/>
        <w:ind w:firstLine="480" w:firstLineChars="200"/>
        <w:rPr>
          <w:sz w:val="24"/>
        </w:rPr>
      </w:pPr>
    </w:p>
    <w:p w14:paraId="038E88F0">
      <w:pPr>
        <w:spacing w:line="360" w:lineRule="auto"/>
        <w:ind w:firstLine="480" w:firstLineChars="200"/>
        <w:rPr>
          <w:sz w:val="24"/>
        </w:rPr>
      </w:pPr>
      <w:r>
        <w:rPr>
          <w:rFonts w:hint="eastAsia"/>
          <w:sz w:val="24"/>
        </w:rPr>
        <w:t>第一，存储分散，物理与逻辑孤立。 知识资产以非结构化或半结构化数据形态（如PDF、Word、PPT、Excel、视频、图片等）分散存在于多个孤立的存储位置：部分集中于文件服务器或早期的资源库平台，大量留存于各院系、教研室甚至教师个人的电脑、移动硬盘或云盘账户中，还有一部分作为附件嵌入在教务、科研、OA等各类业务系统的数据库里。缺乏统一的资产登记、编目与存储规范，形成“数据孤岛”，无法从全局视角进行盘点、管理和利用。</w:t>
      </w:r>
    </w:p>
    <w:p w14:paraId="0E28167D">
      <w:pPr>
        <w:spacing w:line="360" w:lineRule="auto"/>
        <w:ind w:firstLine="480" w:firstLineChars="200"/>
        <w:rPr>
          <w:sz w:val="24"/>
        </w:rPr>
      </w:pPr>
    </w:p>
    <w:p w14:paraId="32F36ED6">
      <w:pPr>
        <w:spacing w:line="360" w:lineRule="auto"/>
        <w:ind w:firstLine="480" w:firstLineChars="200"/>
        <w:rPr>
          <w:sz w:val="24"/>
        </w:rPr>
      </w:pPr>
      <w:r>
        <w:rPr>
          <w:rFonts w:hint="eastAsia"/>
          <w:sz w:val="24"/>
        </w:rPr>
        <w:t>第二，检索低效，获取知识困难。 由于缺乏统一的元数据标准和智能化的检索工具，师生查找所需知识时往往需要凭借模糊记忆，在多个系统、文件夹中手动翻阅，或依赖同事间的口口相传。特别是针对非结构化文档的内容检索，传统基于文件名的搜索方式显得力不从心。例如，一位教师希望查找“与智能制造单元调试相关的企业真实案例”，他可能无法准确知道该案例是以Word报告、PPT演示还是视频形式存在，存放在哪个专业的资源库中，文件命名是什么，导致检索过程耗时费力，且容易遗漏关键内容。</w:t>
      </w:r>
    </w:p>
    <w:p w14:paraId="3FEFCEC6">
      <w:pPr>
        <w:spacing w:line="360" w:lineRule="auto"/>
        <w:ind w:firstLine="480" w:firstLineChars="200"/>
        <w:rPr>
          <w:sz w:val="24"/>
        </w:rPr>
      </w:pPr>
    </w:p>
    <w:p w14:paraId="6DDC6342">
      <w:pPr>
        <w:spacing w:line="360" w:lineRule="auto"/>
        <w:ind w:firstLine="480" w:firstLineChars="200"/>
        <w:rPr>
          <w:sz w:val="24"/>
        </w:rPr>
      </w:pPr>
      <w:r>
        <w:rPr>
          <w:rFonts w:hint="eastAsia"/>
          <w:sz w:val="24"/>
        </w:rPr>
        <w:t>第三，关联缺失，知识呈“点状”存在。 目前的知识资产大多是独立的文档或文件，彼此之间缺乏有机的语义关联。例如，一份“工业机器人操作与维护”的实训指导书，未能与相关的国家职业标准、专业课程知识点、相关的企业技术案例、往届学生的常见操作错误集锦、以及最新的行业安全规范自动关联。知识之间无法形成网络，降低了其综合应用的价值和情境化学习的效果。教师备课或学生学习时，难以快速构建起系统化、多维度的知识视图。</w:t>
      </w:r>
    </w:p>
    <w:p w14:paraId="3AD8D94E">
      <w:pPr>
        <w:spacing w:line="360" w:lineRule="auto"/>
        <w:ind w:firstLine="480" w:firstLineChars="200"/>
        <w:rPr>
          <w:sz w:val="24"/>
        </w:rPr>
      </w:pPr>
    </w:p>
    <w:p w14:paraId="2C1568C4">
      <w:pPr>
        <w:spacing w:line="360" w:lineRule="auto"/>
        <w:ind w:firstLine="480" w:firstLineChars="200"/>
        <w:rPr>
          <w:sz w:val="24"/>
        </w:rPr>
      </w:pPr>
      <w:r>
        <w:rPr>
          <w:rFonts w:hint="eastAsia"/>
          <w:sz w:val="24"/>
        </w:rPr>
        <w:t>第四，版本混乱，更新与维护滞后。 许多重要的文档，如专业教学标准、政策文件、设备操作规程等，会随着时间推移而更新。但在碎片化管理模式下，新旧版本可能混杂存储，缺乏有效的版本控制和更新通知机制。师生可能无意中使用了过时或已被替代的版本，导致教学、管理或决策依据不准确，甚至引发合规性风险。同时，知识资产的更新维护责任不清，往往依赖个人自觉，难以形成持续积累与动态优化的机制。</w:t>
      </w:r>
    </w:p>
    <w:p w14:paraId="4C610277">
      <w:pPr>
        <w:spacing w:line="360" w:lineRule="auto"/>
        <w:ind w:firstLine="480" w:firstLineChars="200"/>
        <w:rPr>
          <w:sz w:val="24"/>
        </w:rPr>
      </w:pPr>
    </w:p>
    <w:p w14:paraId="40A87236">
      <w:pPr>
        <w:spacing w:line="360" w:lineRule="auto"/>
        <w:ind w:firstLine="480" w:firstLineChars="200"/>
        <w:rPr>
          <w:sz w:val="24"/>
        </w:rPr>
      </w:pPr>
      <w:r>
        <w:rPr>
          <w:rFonts w:hint="eastAsia"/>
          <w:sz w:val="24"/>
        </w:rPr>
        <w:t>第五，传承阻滞，隐性知识流失严重。 大量的隐性知识，如资深教师的授课技巧、项目指导经验、对复杂技术问题的直觉判断等，通常存在于个体头脑中或零散的交流记录里。由于缺乏体系化的沉淀、萃取和共享平台，这些宝贵的经验难以有效地传递给年轻教师或跨专业共享。随着人员的退休或流动，学校面临着隐性知识持续流失的风险，影响了教学团队整体水平的传承与提升。</w:t>
      </w:r>
    </w:p>
    <w:p w14:paraId="19325970">
      <w:pPr>
        <w:spacing w:line="360" w:lineRule="auto"/>
        <w:ind w:firstLine="480" w:firstLineChars="200"/>
        <w:rPr>
          <w:sz w:val="24"/>
        </w:rPr>
      </w:pPr>
    </w:p>
    <w:p w14:paraId="3B9DCCAB">
      <w:pPr>
        <w:spacing w:line="360" w:lineRule="auto"/>
        <w:ind w:firstLine="480" w:firstLineChars="200"/>
        <w:rPr>
          <w:sz w:val="24"/>
        </w:rPr>
      </w:pPr>
      <w:r>
        <w:rPr>
          <w:rFonts w:hint="eastAsia"/>
          <w:sz w:val="24"/>
        </w:rPr>
        <w:t>第六，利用浅层，未能融入业务闭环。 当前的知识资产利用，大多停留在“需要时查找”的被动响应模式，未能深度融入教学、科研、管理的具体业务流程中，实现主动的、情境化的智能推送。例如，在教师编写某门课的教案时，系统无法自动推荐相关的优秀同类教案、最新的行业标准、匹配的企业案例；在学生进行某项实训时，系统无法根据其操作步骤实时推送相关的操作规范、安全提示或常见故障排解视频。</w:t>
      </w:r>
    </w:p>
    <w:p w14:paraId="2FC191B1">
      <w:pPr>
        <w:spacing w:line="360" w:lineRule="auto"/>
        <w:ind w:firstLine="480" w:firstLineChars="200"/>
        <w:rPr>
          <w:sz w:val="24"/>
        </w:rPr>
      </w:pPr>
    </w:p>
    <w:p w14:paraId="2FFEF769">
      <w:pPr>
        <w:spacing w:line="360" w:lineRule="auto"/>
        <w:ind w:firstLine="480" w:firstLineChars="200"/>
        <w:rPr>
          <w:sz w:val="24"/>
        </w:rPr>
      </w:pPr>
      <w:r>
        <w:rPr>
          <w:rFonts w:hint="eastAsia"/>
          <w:sz w:val="24"/>
        </w:rPr>
        <w:t>综上所述，学校积累的丰富知识资产尚未能从一个“静态的、散落的档案库”，转变为一个“动态的、关联的、可智能运用的战略性数据资产”。这种“碎片化”状态不仅造成了知识查找难、共享难、利用效率低下的现实问题，更深层次地制约了学校在知识管理、经验传承、教学创新和决策支持方面的能力发展。因此，迫切需要通过一个统一的、智能化的知识中台，对多源异构知识资产进行系统化的汇聚、标准化治理、深度关联与语义化组织，并面向具体业务场景提供精准、便捷的知识服务，从而盘活知识存量，激发知识创新，赋能学校各项事业的高质量发展。</w:t>
      </w:r>
    </w:p>
    <w:p w14:paraId="63665541">
      <w:pPr>
        <w:spacing w:line="360" w:lineRule="auto"/>
        <w:rPr>
          <w:sz w:val="24"/>
        </w:rPr>
      </w:pPr>
    </w:p>
    <w:p w14:paraId="67E17DD8">
      <w:pPr>
        <w:numPr>
          <w:ilvl w:val="3"/>
          <w:numId w:val="1"/>
        </w:numPr>
        <w:spacing w:line="360" w:lineRule="auto"/>
        <w:outlineLvl w:val="3"/>
        <w:rPr>
          <w:b/>
          <w:bCs/>
          <w:sz w:val="24"/>
        </w:rPr>
      </w:pPr>
      <w:bookmarkStart w:id="7" w:name="_Toc221113232"/>
      <w:r>
        <w:rPr>
          <w:b/>
          <w:bCs/>
          <w:sz w:val="24"/>
        </w:rPr>
        <w:t>技术架构的“可持续性”挑战</w:t>
      </w:r>
      <w:bookmarkEnd w:id="7"/>
    </w:p>
    <w:p w14:paraId="50A5C280">
      <w:pPr>
        <w:spacing w:line="360" w:lineRule="auto"/>
      </w:pPr>
    </w:p>
    <w:p w14:paraId="02238C15">
      <w:pPr>
        <w:spacing w:line="360" w:lineRule="auto"/>
        <w:ind w:firstLine="480" w:firstLineChars="200"/>
        <w:rPr>
          <w:sz w:val="24"/>
        </w:rPr>
      </w:pPr>
      <w:r>
        <w:rPr>
          <w:sz w:val="24"/>
        </w:rPr>
        <w:t>随着智慧校园建设的深入，新的应用需求和外部服务（如各类大模型API、产业数据接口）不断涌现。如果每个新需求都通过定制开发、独立部署的方式解决，将迅速导致系统架构复杂、运维成本高昂、数据孤岛加剧。学校需要一个统一、开放、可扩展的“AI能力中枢”，能够以标准化、模块化的方式持续集成新的数据源、算法模型和智能组件，为未来的数字化转型提供可持续发展的技术基座</w:t>
      </w:r>
      <w:r>
        <w:rPr>
          <w:rFonts w:hint="eastAsia"/>
          <w:sz w:val="24"/>
        </w:rPr>
        <w:t>。上述核心痛点与平台解决方案对照如表2所示</w:t>
      </w:r>
      <w:r>
        <w:rPr>
          <w:sz w:val="24"/>
        </w:rPr>
        <w:t>。</w:t>
      </w:r>
    </w:p>
    <w:p w14:paraId="28C1C477">
      <w:pPr>
        <w:spacing w:line="360" w:lineRule="auto"/>
        <w:jc w:val="center"/>
        <w:rPr>
          <w:b/>
          <w:bCs/>
        </w:rPr>
      </w:pPr>
      <w:r>
        <w:rPr>
          <w:rFonts w:hint="eastAsia"/>
          <w:b/>
          <w:bCs/>
        </w:rPr>
        <w:t>表2 核心痛点与平台解决方案对照表</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6"/>
        <w:gridCol w:w="2694"/>
        <w:gridCol w:w="3452"/>
      </w:tblGrid>
      <w:tr w14:paraId="1C747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6" w:type="dxa"/>
          </w:tcPr>
          <w:p w14:paraId="2C9AE3F9">
            <w:pPr>
              <w:spacing w:line="360" w:lineRule="auto"/>
              <w:jc w:val="center"/>
              <w:rPr>
                <w:b/>
                <w:bCs/>
                <w:sz w:val="24"/>
              </w:rPr>
            </w:pPr>
            <w:r>
              <w:rPr>
                <w:b/>
                <w:bCs/>
                <w:sz w:val="24"/>
              </w:rPr>
              <w:t>核心痛点</w:t>
            </w:r>
          </w:p>
        </w:tc>
        <w:tc>
          <w:tcPr>
            <w:tcW w:w="2694" w:type="dxa"/>
          </w:tcPr>
          <w:p w14:paraId="4D2890A9">
            <w:pPr>
              <w:spacing w:line="360" w:lineRule="auto"/>
              <w:jc w:val="center"/>
              <w:rPr>
                <w:b/>
                <w:bCs/>
                <w:sz w:val="24"/>
              </w:rPr>
            </w:pPr>
            <w:r>
              <w:rPr>
                <w:b/>
                <w:bCs/>
                <w:sz w:val="24"/>
              </w:rPr>
              <w:t>具体表现</w:t>
            </w:r>
          </w:p>
        </w:tc>
        <w:tc>
          <w:tcPr>
            <w:tcW w:w="3452" w:type="dxa"/>
          </w:tcPr>
          <w:p w14:paraId="28428EFE">
            <w:pPr>
              <w:spacing w:line="360" w:lineRule="auto"/>
              <w:jc w:val="center"/>
              <w:rPr>
                <w:b/>
                <w:bCs/>
                <w:sz w:val="24"/>
              </w:rPr>
            </w:pPr>
            <w:r>
              <w:rPr>
                <w:b/>
                <w:bCs/>
                <w:sz w:val="24"/>
              </w:rPr>
              <w:t>平台对应能力与解决方案</w:t>
            </w:r>
          </w:p>
        </w:tc>
      </w:tr>
      <w:tr w14:paraId="5855E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6" w:type="dxa"/>
          </w:tcPr>
          <w:p w14:paraId="3B723512">
            <w:pPr>
              <w:spacing w:line="360" w:lineRule="auto"/>
              <w:jc w:val="center"/>
              <w:rPr>
                <w:b/>
                <w:bCs/>
                <w:sz w:val="24"/>
              </w:rPr>
            </w:pPr>
            <w:r>
              <w:rPr>
                <w:b/>
                <w:bCs/>
                <w:sz w:val="24"/>
              </w:rPr>
              <w:t>数据价值释放难</w:t>
            </w:r>
          </w:p>
        </w:tc>
        <w:tc>
          <w:tcPr>
            <w:tcW w:w="2694" w:type="dxa"/>
          </w:tcPr>
          <w:p w14:paraId="276ACDD4">
            <w:pPr>
              <w:spacing w:line="360" w:lineRule="auto"/>
              <w:jc w:val="left"/>
              <w:rPr>
                <w:sz w:val="24"/>
              </w:rPr>
            </w:pPr>
            <w:r>
              <w:rPr>
                <w:sz w:val="24"/>
              </w:rPr>
              <w:t>报表开发周期长，跨系统分析困难</w:t>
            </w:r>
          </w:p>
        </w:tc>
        <w:tc>
          <w:tcPr>
            <w:tcW w:w="3452" w:type="dxa"/>
          </w:tcPr>
          <w:p w14:paraId="47671322">
            <w:pPr>
              <w:spacing w:line="360" w:lineRule="auto"/>
              <w:jc w:val="left"/>
              <w:rPr>
                <w:sz w:val="24"/>
              </w:rPr>
            </w:pPr>
            <w:r>
              <w:rPr>
                <w:sz w:val="24"/>
              </w:rPr>
              <w:t>数据湖管理、主题/标签数据开发、API服务化</w:t>
            </w:r>
          </w:p>
        </w:tc>
      </w:tr>
      <w:tr w14:paraId="2E044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6" w:type="dxa"/>
          </w:tcPr>
          <w:p w14:paraId="7273E7B5">
            <w:pPr>
              <w:spacing w:line="360" w:lineRule="auto"/>
              <w:jc w:val="center"/>
              <w:rPr>
                <w:b/>
                <w:bCs/>
                <w:sz w:val="24"/>
              </w:rPr>
            </w:pPr>
            <w:r>
              <w:rPr>
                <w:b/>
                <w:bCs/>
                <w:sz w:val="24"/>
              </w:rPr>
              <w:t>智能应用门槛高</w:t>
            </w:r>
          </w:p>
        </w:tc>
        <w:tc>
          <w:tcPr>
            <w:tcW w:w="2694" w:type="dxa"/>
          </w:tcPr>
          <w:p w14:paraId="638D0E1A">
            <w:pPr>
              <w:spacing w:line="360" w:lineRule="auto"/>
              <w:jc w:val="left"/>
              <w:rPr>
                <w:sz w:val="24"/>
              </w:rPr>
            </w:pPr>
            <w:r>
              <w:rPr>
                <w:sz w:val="24"/>
              </w:rPr>
              <w:t>业务人员有想法但无法实现</w:t>
            </w:r>
          </w:p>
        </w:tc>
        <w:tc>
          <w:tcPr>
            <w:tcW w:w="3452" w:type="dxa"/>
          </w:tcPr>
          <w:p w14:paraId="3562E552">
            <w:pPr>
              <w:spacing w:line="360" w:lineRule="auto"/>
              <w:jc w:val="left"/>
              <w:rPr>
                <w:sz w:val="24"/>
              </w:rPr>
            </w:pPr>
            <w:r>
              <w:rPr>
                <w:sz w:val="24"/>
              </w:rPr>
              <w:t>可视化AI应用开发、低代码工作流引擎</w:t>
            </w:r>
          </w:p>
        </w:tc>
      </w:tr>
      <w:tr w14:paraId="649CB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6" w:type="dxa"/>
          </w:tcPr>
          <w:p w14:paraId="75386CCA">
            <w:pPr>
              <w:spacing w:line="360" w:lineRule="auto"/>
              <w:jc w:val="center"/>
              <w:rPr>
                <w:b/>
                <w:bCs/>
                <w:sz w:val="24"/>
              </w:rPr>
            </w:pPr>
            <w:r>
              <w:rPr>
                <w:b/>
                <w:bCs/>
                <w:sz w:val="24"/>
              </w:rPr>
              <w:t>知识资产利用低</w:t>
            </w:r>
          </w:p>
        </w:tc>
        <w:tc>
          <w:tcPr>
            <w:tcW w:w="2694" w:type="dxa"/>
          </w:tcPr>
          <w:p w14:paraId="10B2796C">
            <w:pPr>
              <w:spacing w:line="360" w:lineRule="auto"/>
              <w:jc w:val="left"/>
              <w:rPr>
                <w:sz w:val="24"/>
              </w:rPr>
            </w:pPr>
            <w:r>
              <w:rPr>
                <w:sz w:val="24"/>
              </w:rPr>
              <w:t>文档检索不便，无法智能关联</w:t>
            </w:r>
          </w:p>
        </w:tc>
        <w:tc>
          <w:tcPr>
            <w:tcW w:w="3452" w:type="dxa"/>
          </w:tcPr>
          <w:p w14:paraId="29E8D769">
            <w:pPr>
              <w:spacing w:line="360" w:lineRule="auto"/>
              <w:jc w:val="left"/>
              <w:rPr>
                <w:sz w:val="24"/>
              </w:rPr>
            </w:pPr>
            <w:r>
              <w:rPr>
                <w:sz w:val="24"/>
              </w:rPr>
              <w:t>知识库管理、向量化检索、内置职教知识库</w:t>
            </w:r>
          </w:p>
        </w:tc>
      </w:tr>
      <w:tr w14:paraId="5A704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6" w:type="dxa"/>
          </w:tcPr>
          <w:p w14:paraId="6A97A135">
            <w:pPr>
              <w:spacing w:line="360" w:lineRule="auto"/>
              <w:jc w:val="center"/>
              <w:rPr>
                <w:b/>
                <w:bCs/>
                <w:sz w:val="24"/>
              </w:rPr>
            </w:pPr>
            <w:r>
              <w:rPr>
                <w:b/>
                <w:bCs/>
                <w:sz w:val="24"/>
              </w:rPr>
              <w:t>技术发展不可持续</w:t>
            </w:r>
          </w:p>
        </w:tc>
        <w:tc>
          <w:tcPr>
            <w:tcW w:w="2694" w:type="dxa"/>
          </w:tcPr>
          <w:p w14:paraId="56106158">
            <w:pPr>
              <w:spacing w:line="360" w:lineRule="auto"/>
              <w:jc w:val="left"/>
              <w:rPr>
                <w:sz w:val="24"/>
              </w:rPr>
            </w:pPr>
            <w:r>
              <w:rPr>
                <w:sz w:val="24"/>
              </w:rPr>
              <w:t>系统烟囱林立，新需求集成困难</w:t>
            </w:r>
          </w:p>
        </w:tc>
        <w:tc>
          <w:tcPr>
            <w:tcW w:w="3452" w:type="dxa"/>
          </w:tcPr>
          <w:p w14:paraId="4D7346CF">
            <w:pPr>
              <w:spacing w:line="360" w:lineRule="auto"/>
              <w:jc w:val="left"/>
              <w:rPr>
                <w:sz w:val="24"/>
              </w:rPr>
            </w:pPr>
            <w:r>
              <w:rPr>
                <w:sz w:val="24"/>
              </w:rPr>
              <w:t>微服务架构、统一模型管理、标准化API集成</w:t>
            </w:r>
          </w:p>
        </w:tc>
      </w:tr>
    </w:tbl>
    <w:p w14:paraId="795C55A4">
      <w:pPr>
        <w:spacing w:line="360" w:lineRule="auto"/>
        <w:ind w:firstLine="480" w:firstLineChars="200"/>
        <w:rPr>
          <w:sz w:val="24"/>
        </w:rPr>
      </w:pPr>
      <w:r>
        <w:rPr>
          <w:rFonts w:hint="eastAsia"/>
          <w:sz w:val="24"/>
        </w:rPr>
        <w:t>综上所述，学校的真实需求已经超越了单纯采购或升级某个软件系统的层面，而是期望通过本项目建设，完成一次根本性的 “能力跃迁” —— 从“被动管理数据”到“主动运营数据智能”；从“依赖外部技术支援”到“培育内部创新生态”；从“解决孤立业务问题”到“构建持续演进的整体数字能力体系”。本平台正是实现这一跃迁的核心载体、关键抓手与赋能引擎，旨在将沉睡的数据转化为涌现的智能，将技术的复杂性封装为创新的简易性，最终支撑学校在数字化时代形成新的发展动能。</w:t>
      </w:r>
    </w:p>
    <w:p w14:paraId="664E66B1">
      <w:pPr>
        <w:spacing w:line="360" w:lineRule="auto"/>
        <w:ind w:firstLine="480" w:firstLineChars="200"/>
        <w:rPr>
          <w:sz w:val="24"/>
        </w:rPr>
      </w:pPr>
    </w:p>
    <w:p w14:paraId="68C686B7">
      <w:pPr>
        <w:numPr>
          <w:ilvl w:val="2"/>
          <w:numId w:val="1"/>
        </w:numPr>
        <w:spacing w:line="360" w:lineRule="auto"/>
        <w:outlineLvl w:val="2"/>
        <w:rPr>
          <w:b/>
          <w:bCs/>
          <w:sz w:val="28"/>
          <w:szCs w:val="28"/>
        </w:rPr>
      </w:pPr>
      <w:bookmarkStart w:id="8" w:name="_Toc221113233"/>
      <w:r>
        <w:rPr>
          <w:b/>
          <w:bCs/>
          <w:sz w:val="28"/>
          <w:szCs w:val="28"/>
        </w:rPr>
        <w:t>核心目标：打造三位一体的AI数智中枢</w:t>
      </w:r>
      <w:bookmarkEnd w:id="8"/>
    </w:p>
    <w:p w14:paraId="232B0255">
      <w:pPr>
        <w:spacing w:line="360" w:lineRule="auto"/>
        <w:rPr>
          <w:sz w:val="24"/>
        </w:rPr>
      </w:pPr>
    </w:p>
    <w:p w14:paraId="44054747">
      <w:pPr>
        <w:spacing w:line="360" w:lineRule="auto"/>
        <w:ind w:firstLine="480" w:firstLineChars="200"/>
        <w:rPr>
          <w:sz w:val="24"/>
        </w:rPr>
      </w:pPr>
      <w:r>
        <w:rPr>
          <w:sz w:val="24"/>
        </w:rPr>
        <w:t>本项目的核心目标并非简单交付一套技术系统，而是为常州工程职业技术学院构建一个集平台、服务与赋能于一体的智能化中枢。这个中枢将成为驱动学校数字化转型的核心引擎，通过技术基座、运营保障与能力建设三个层面的深度融合，实现从数据管理到智能创新的质变跨越。</w:t>
      </w:r>
    </w:p>
    <w:p w14:paraId="198C44D0">
      <w:pPr>
        <w:spacing w:line="360" w:lineRule="auto"/>
        <w:ind w:firstLine="480" w:firstLineChars="200"/>
        <w:rPr>
          <w:sz w:val="24"/>
        </w:rPr>
      </w:pPr>
      <w:r>
        <w:rPr>
          <w:sz w:val="24"/>
        </w:rPr>
        <w:t>在平台层面，我们致力于打造一个开放、敏捷、智能的技术基座</w:t>
      </w:r>
      <w:r>
        <w:rPr>
          <w:rFonts w:hint="eastAsia"/>
          <w:sz w:val="24"/>
        </w:rPr>
        <w:t>（图3、图4所示）</w:t>
      </w:r>
      <w:r>
        <w:rPr>
          <w:sz w:val="24"/>
        </w:rPr>
        <w:t>。这个基座需要具备强大的数据融合能力，能够将学校现有的数据中心、各类业务系统、外部产业数据以及文档知识等异构数据源有机整合，形成高质量的“数据燃料库”。更重要的是，平台将提供直观易用的低代码开发环境，通过可视化工作流引擎和丰富的预制组件，将复杂的大语言模型、机器学习算法等AI技术封装成易于调用的“智能积木”。这样的设计使得教学管理人员和业务教师无需深厚的技术背景，就能够像搭建积木一样，快速构建出符合实际业务需求的智能应用，如智能问答助手、自动化评价工具、个性化学习推荐系统等。</w:t>
      </w:r>
    </w:p>
    <w:p w14:paraId="3538A71F">
      <w:pPr>
        <w:spacing w:line="360" w:lineRule="auto"/>
        <w:ind w:firstLine="480" w:firstLineChars="200"/>
        <w:rPr>
          <w:sz w:val="24"/>
        </w:rPr>
      </w:pPr>
    </w:p>
    <w:p w14:paraId="597015A5">
      <w:pPr>
        <w:spacing w:line="360" w:lineRule="auto"/>
        <w:ind w:firstLine="480" w:firstLineChars="200"/>
        <w:rPr>
          <w:sz w:val="24"/>
        </w:rPr>
      </w:pPr>
      <w:r>
        <w:rPr>
          <w:sz w:val="24"/>
        </w:rPr>
        <w:t>在服务维度，我们将建立全方位的持续运营保障体系。这不仅包括7×24小时的技术支持响应和定期系统巡检维护，更重要的是提供场景化的数据服务和解决方案交付。例如，我们将持续更新产业人才需求数据，确保平台中的产业信息始终保持时效性；同时，我们会基于学校的实际业务场景，开发“AI问数”等示范性应用，将平台的通用能力转化为解决具体业务痛点的实际工具。通过深度对接学校智慧校园平台，实现统一身份认证和无缝体验，确保智能应用能够真正融入师生的日常工作和学习。</w:t>
      </w:r>
    </w:p>
    <w:p w14:paraId="3BFB3C6C">
      <w:pPr>
        <w:spacing w:line="360" w:lineRule="auto"/>
        <w:ind w:firstLine="480" w:firstLineChars="200"/>
        <w:rPr>
          <w:sz w:val="24"/>
        </w:rPr>
      </w:pPr>
    </w:p>
    <w:p w14:paraId="3049E123">
      <w:pPr>
        <w:spacing w:line="360" w:lineRule="auto"/>
        <w:ind w:firstLine="480" w:firstLineChars="200"/>
        <w:rPr>
          <w:sz w:val="24"/>
        </w:rPr>
      </w:pPr>
      <w:r>
        <w:rPr>
          <w:sz w:val="24"/>
        </w:rPr>
        <w:t>在赋能层面，我们着眼于实现从工具交付到能力内化的深度转型。通过体系化的培训体系、工作坊指导和实战演练，我们将帮助学校培养一支掌握平台运维管理、具备低代码开发能力、理解AI应用场景的核心团队。这种赋能不仅是技术能力的传授，更是思维方式和工作模式的革新。我们期望通过持续的陪伴式支持，激发校内创新活力，培育一批能够自主利用平台解决实际问题的“校园AI开发师”，从而形成一个具有自我造血功能的智能化创新生态。</w:t>
      </w:r>
    </w:p>
    <w:p w14:paraId="1D4ED6C1">
      <w:pPr>
        <w:spacing w:line="360" w:lineRule="auto"/>
        <w:ind w:firstLine="480" w:firstLineChars="200"/>
        <w:rPr>
          <w:sz w:val="24"/>
        </w:rPr>
      </w:pPr>
    </w:p>
    <w:p w14:paraId="74917830">
      <w:pPr>
        <w:spacing w:line="360" w:lineRule="auto"/>
        <w:ind w:firstLine="480" w:firstLineChars="200"/>
        <w:rPr>
          <w:sz w:val="24"/>
        </w:rPr>
      </w:pPr>
      <w:r>
        <w:rPr>
          <w:sz w:val="24"/>
        </w:rPr>
        <w:t>这三者之间形成相互支撑、协同促进的有机整体。平台为服务与赋能提供技术基础，服务确保平台价值的持续释放，赋能则使平台和服务得以自我演进和深化应用。最终，我们将共同构建一个有生命力的智能化生态系统，使其不仅能够满足学校当前的需求，更能适应未来技术与教育模式的发展变化，成为常州工程职业技术学院在教育数字化转型道路上的核心竞争力。</w:t>
      </w:r>
    </w:p>
    <w:p w14:paraId="0BBCAD9F">
      <w:pPr>
        <w:spacing w:line="360" w:lineRule="auto"/>
        <w:ind w:firstLine="480" w:firstLineChars="200"/>
        <w:rPr>
          <w:sz w:val="24"/>
        </w:rPr>
      </w:pPr>
    </w:p>
    <w:p w14:paraId="605D5AB1">
      <w:pPr>
        <w:spacing w:line="360" w:lineRule="auto"/>
        <w:jc w:val="center"/>
        <w:rPr>
          <w:sz w:val="24"/>
        </w:rPr>
      </w:pPr>
      <w:r>
        <w:rPr>
          <w:sz w:val="24"/>
        </w:rPr>
        <w:drawing>
          <wp:inline distT="0" distB="0" distL="114300" distR="114300">
            <wp:extent cx="1681480" cy="4101465"/>
            <wp:effectExtent l="0" t="0" r="0" b="0"/>
            <wp:docPr id="5" name="图片 5" descr="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1.3."/>
                    <pic:cNvPicPr>
                      <a:picLocks noChangeAspect="1"/>
                    </pic:cNvPicPr>
                  </pic:nvPicPr>
                  <pic:blipFill>
                    <a:blip r:embed="rId7"/>
                    <a:stretch>
                      <a:fillRect/>
                    </a:stretch>
                  </pic:blipFill>
                  <pic:spPr>
                    <a:xfrm>
                      <a:off x="0" y="0"/>
                      <a:ext cx="1707233" cy="4164134"/>
                    </a:xfrm>
                    <a:prstGeom prst="rect">
                      <a:avLst/>
                    </a:prstGeom>
                  </pic:spPr>
                </pic:pic>
              </a:graphicData>
            </a:graphic>
          </wp:inline>
        </w:drawing>
      </w:r>
    </w:p>
    <w:p w14:paraId="786D1F66">
      <w:pPr>
        <w:spacing w:line="360" w:lineRule="auto"/>
        <w:jc w:val="center"/>
        <w:rPr>
          <w:b/>
          <w:bCs/>
        </w:rPr>
      </w:pPr>
      <w:r>
        <w:rPr>
          <w:rFonts w:hint="eastAsia"/>
          <w:b/>
          <w:bCs/>
        </w:rPr>
        <w:t>图3 “三位一体”AI数值中枢垂直关系图</w:t>
      </w:r>
    </w:p>
    <w:p w14:paraId="0D5A89DD">
      <w:pPr>
        <w:spacing w:line="360" w:lineRule="auto"/>
        <w:ind w:firstLine="480" w:firstLineChars="200"/>
        <w:jc w:val="center"/>
        <w:rPr>
          <w:b/>
          <w:bCs/>
        </w:rPr>
      </w:pPr>
      <w:r>
        <w:rPr>
          <w:sz w:val="24"/>
        </w:rPr>
        <w:drawing>
          <wp:anchor distT="0" distB="0" distL="114300" distR="114300" simplePos="0" relativeHeight="251669504" behindDoc="0" locked="0" layoutInCell="1" allowOverlap="1">
            <wp:simplePos x="0" y="0"/>
            <wp:positionH relativeFrom="column">
              <wp:posOffset>-167005</wp:posOffset>
            </wp:positionH>
            <wp:positionV relativeFrom="paragraph">
              <wp:posOffset>94615</wp:posOffset>
            </wp:positionV>
            <wp:extent cx="5505450" cy="2651760"/>
            <wp:effectExtent l="0" t="0" r="0" b="0"/>
            <wp:wrapSquare wrapText="bothSides"/>
            <wp:docPr id="19" name="图片 19" descr="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1.3.-2"/>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5505450" cy="2651760"/>
                    </a:xfrm>
                    <a:prstGeom prst="rect">
                      <a:avLst/>
                    </a:prstGeom>
                  </pic:spPr>
                </pic:pic>
              </a:graphicData>
            </a:graphic>
          </wp:anchor>
        </w:drawing>
      </w:r>
      <w:r>
        <w:rPr>
          <w:rFonts w:hint="eastAsia"/>
          <w:b/>
          <w:bCs/>
        </w:rPr>
        <w:t>图4 “平台、服务、赋能”三者之间的相互作用关系</w:t>
      </w:r>
    </w:p>
    <w:p w14:paraId="656795DC">
      <w:pPr>
        <w:spacing w:line="360" w:lineRule="auto"/>
        <w:jc w:val="center"/>
        <w:rPr>
          <w:b/>
          <w:bCs/>
        </w:rPr>
      </w:pPr>
    </w:p>
    <w:p w14:paraId="51ED0A10">
      <w:pPr>
        <w:numPr>
          <w:ilvl w:val="1"/>
          <w:numId w:val="1"/>
        </w:numPr>
        <w:spacing w:line="360" w:lineRule="auto"/>
        <w:outlineLvl w:val="1"/>
        <w:rPr>
          <w:b/>
          <w:bCs/>
          <w:sz w:val="30"/>
          <w:szCs w:val="30"/>
        </w:rPr>
      </w:pPr>
      <w:bookmarkStart w:id="9" w:name="_Toc221113234"/>
      <w:r>
        <w:rPr>
          <w:b/>
          <w:bCs/>
          <w:sz w:val="30"/>
          <w:szCs w:val="30"/>
        </w:rPr>
        <w:t>平台功能需求分析与理解</w:t>
      </w:r>
      <w:bookmarkEnd w:id="9"/>
    </w:p>
    <w:p w14:paraId="0DA7EC4B">
      <w:pPr>
        <w:spacing w:line="360" w:lineRule="auto"/>
        <w:jc w:val="left"/>
        <w:rPr>
          <w:sz w:val="24"/>
        </w:rPr>
      </w:pPr>
    </w:p>
    <w:p w14:paraId="7E20C2F9">
      <w:pPr>
        <w:spacing w:line="360" w:lineRule="auto"/>
        <w:ind w:firstLine="420" w:firstLineChars="200"/>
        <w:rPr>
          <w:sz w:val="24"/>
        </w:rPr>
      </w:pPr>
      <w:r>
        <w:drawing>
          <wp:anchor distT="0" distB="0" distL="114300" distR="114300" simplePos="0" relativeHeight="251660288" behindDoc="0" locked="0" layoutInCell="1" allowOverlap="1">
            <wp:simplePos x="0" y="0"/>
            <wp:positionH relativeFrom="column">
              <wp:posOffset>-289560</wp:posOffset>
            </wp:positionH>
            <wp:positionV relativeFrom="paragraph">
              <wp:posOffset>2216785</wp:posOffset>
            </wp:positionV>
            <wp:extent cx="5721350" cy="2127250"/>
            <wp:effectExtent l="114300" t="114300" r="107950" b="139700"/>
            <wp:wrapSquare wrapText="bothSides"/>
            <wp:docPr id="13028664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866428" name="图片 1"/>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21350" cy="2127250"/>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sz w:val="24"/>
        </w:rPr>
        <w:t>基于对项目宏观背景与核心目标的深入解读，我们深刻理解到，常州工程职业技术学院所寻求的并非一个功能固化的软件产品，而是一个具备生长性、开放性与赋能性的"AI数智化中枢"。本平台的建设</w:t>
      </w:r>
      <w:r>
        <w:rPr>
          <w:rFonts w:hint="eastAsia"/>
          <w:sz w:val="24"/>
        </w:rPr>
        <w:t>（如图5所示平台功能需求分析与理解）</w:t>
      </w:r>
      <w:r>
        <w:rPr>
          <w:sz w:val="24"/>
        </w:rPr>
        <w:t>，旨在直接回应并系统性地解决项目背景分析中所述"从数据沉睡到智能涌现"的迫切需求，以及实现从"拥有数据"到"智能应用"的能力跃迁。通过对招标文件的深入研读，我们认识到平台功能需求与服务需求之间存在内在的协同逻辑，共同构成了支撑学校数字化转型的完整价值闭环。</w:t>
      </w:r>
    </w:p>
    <w:p w14:paraId="49E4C078">
      <w:pPr>
        <w:spacing w:line="360" w:lineRule="auto"/>
        <w:jc w:val="center"/>
        <w:rPr>
          <w:b/>
          <w:bCs/>
          <w:sz w:val="24"/>
        </w:rPr>
      </w:pPr>
      <w:r>
        <w:rPr>
          <w:rFonts w:hint="eastAsia"/>
          <w:b/>
          <w:bCs/>
        </w:rPr>
        <w:t xml:space="preserve">图5 </w:t>
      </w:r>
      <w:r>
        <w:rPr>
          <w:rFonts w:hint="eastAsia"/>
          <w:b/>
          <w:bCs/>
          <w:szCs w:val="21"/>
        </w:rPr>
        <w:t>平台功能需求分析与理解</w:t>
      </w:r>
    </w:p>
    <w:p w14:paraId="67B898BA">
      <w:pPr>
        <w:numPr>
          <w:ilvl w:val="2"/>
          <w:numId w:val="1"/>
        </w:numPr>
        <w:spacing w:line="360" w:lineRule="auto"/>
        <w:outlineLvl w:val="2"/>
        <w:rPr>
          <w:b/>
          <w:bCs/>
          <w:sz w:val="28"/>
          <w:szCs w:val="28"/>
        </w:rPr>
      </w:pPr>
      <w:bookmarkStart w:id="10" w:name="_Toc221113235"/>
      <w:r>
        <w:rPr>
          <w:b/>
          <w:bCs/>
          <w:sz w:val="28"/>
          <w:szCs w:val="28"/>
        </w:rPr>
        <w:t>一体化数据与AI能力基座：构筑激活数据价值的"智能土壤"</w:t>
      </w:r>
      <w:bookmarkEnd w:id="10"/>
    </w:p>
    <w:p w14:paraId="2FC80F4F">
      <w:pPr>
        <w:spacing w:line="360" w:lineRule="auto"/>
        <w:jc w:val="left"/>
        <w:rPr>
          <w:sz w:val="24"/>
        </w:rPr>
      </w:pPr>
    </w:p>
    <w:p w14:paraId="29000738">
      <w:pPr>
        <w:spacing w:line="360" w:lineRule="auto"/>
        <w:ind w:firstLine="480" w:firstLineChars="200"/>
        <w:rPr>
          <w:sz w:val="24"/>
        </w:rPr>
      </w:pPr>
      <w:r>
        <w:rPr>
          <w:sz w:val="24"/>
        </w:rPr>
        <w:t>招标文件对平台的基础功能要求，涵盖了从数据湖管理、知识库构建到AI引擎与应用开发的全链条。我们理解，这不仅仅是功能模块的简单堆砌，其深层需求在于构建一个统一、柔韧、可持续承载并孵化各类智能应用的"数字基座"，以根治当前存在的"数据价值释放难"与"技术发展不可持续"的痛点。这一基座将是实现"从资源建设到能力赋能"政策导向的技术载体。</w:t>
      </w:r>
    </w:p>
    <w:p w14:paraId="0121A7B2">
      <w:pPr>
        <w:spacing w:line="360" w:lineRule="auto"/>
        <w:ind w:firstLine="480" w:firstLineChars="200"/>
        <w:rPr>
          <w:sz w:val="24"/>
        </w:rPr>
      </w:pPr>
    </w:p>
    <w:p w14:paraId="032AFB8F">
      <w:pPr>
        <w:spacing w:line="360" w:lineRule="auto"/>
        <w:ind w:firstLine="480" w:firstLineChars="200"/>
        <w:rPr>
          <w:sz w:val="24"/>
        </w:rPr>
      </w:pPr>
      <w:r>
        <w:rPr>
          <w:sz w:val="24"/>
        </w:rPr>
        <w:t>该基座的核心设计体现为三个层面的深度融合。在数据治理层面，平台需提供强大的异构数据接入与智能治理能力。我们特别关注到招标文件中强调的"主题数据开发"与"标签数据开发"功能，这不仅是技术实现，更是业务思维的数据化表达。通过可视化数据管道与标准化治理流程，平台能够将来自教务、学工、科研等系统的原始数据，转化为具有明确业务含义的"主题域"（如学生发展、教学质量、专业建设等）和精细化"标签体系"（如学习行为标签、技能掌握标签、职业倾向标签）。这种转化使得数据不再只是技术部门的资产，而成为业务部门可直接理解和使用的基础材料。同时，对非结构化文档的向量化处理与知识库管理，更是将学校长期积累的政策文件、教学标准、产业规范等"隐性知识"转化为可检索、可关联的"显性智能"，有效解决了"知识资产利用低"的问题。</w:t>
      </w:r>
    </w:p>
    <w:p w14:paraId="230150A7">
      <w:pPr>
        <w:spacing w:line="360" w:lineRule="auto"/>
        <w:ind w:firstLine="480" w:firstLineChars="200"/>
        <w:rPr>
          <w:sz w:val="24"/>
        </w:rPr>
      </w:pPr>
    </w:p>
    <w:p w14:paraId="047FE262">
      <w:pPr>
        <w:spacing w:line="360" w:lineRule="auto"/>
        <w:ind w:firstLine="480" w:firstLineChars="200"/>
        <w:rPr>
          <w:sz w:val="24"/>
        </w:rPr>
      </w:pPr>
      <w:r>
        <w:rPr>
          <w:sz w:val="24"/>
        </w:rPr>
        <w:t>在AI能力供给层面，低代码开发环境与可视化工作流引擎是平台赋能的核心枢纽。我们深入理解招标文件中对"AI引擎开发与管理"、"AI应用开发管理"的详细要求，这些功能的设计初衷是将复杂的机器学习算法、大模型调用、业务逻辑编排等技术能力封装为易用的"智能组件"。通过拖拽式的工作流设计，业务教师即使不具备专业编程能力，也能将数据查询、模型分析、结果呈现等环节串联起来，构建出满足特定场景需求的智能应用。例如，一个职业规划指导教师可以通过组合"学生画像数据查询"、"岗位能力匹配模型"、"简历生成模板"等组件，快速搭建一个"个性化就业建议系统"。这种设计直接攻克了"智能应用门槛高"的困境，使AI技术真正从专家的实验室走向一线业务场景。</w:t>
      </w:r>
    </w:p>
    <w:p w14:paraId="391C8E46">
      <w:pPr>
        <w:spacing w:line="360" w:lineRule="auto"/>
        <w:ind w:firstLine="480" w:firstLineChars="200"/>
        <w:rPr>
          <w:sz w:val="24"/>
        </w:rPr>
      </w:pPr>
    </w:p>
    <w:p w14:paraId="178AEC43">
      <w:pPr>
        <w:spacing w:line="360" w:lineRule="auto"/>
        <w:ind w:firstLine="480" w:firstLineChars="200"/>
        <w:rPr>
          <w:sz w:val="24"/>
        </w:rPr>
      </w:pPr>
      <w:r>
        <w:rPr>
          <w:sz w:val="24"/>
        </w:rPr>
        <w:t>在运营管理层面，对模型、API及算力的统一监测与管理，则是确保平台长期稳定、可控、可信运营的基石。招标文件明确要求的"模型管理"、"应用监测"、"算力资源监测"等功能，构成了平台的自我感知与自我调节系统。通过实时跟踪API调用状态、监控模型性能衰减、管理计算资源分配，平台能够保障智能服务的可用性与可靠性，同时为运营决策提供数据支持。这种全生命周期管理能力，使得平台</w:t>
      </w:r>
      <w:r>
        <w:rPr>
          <w:rFonts w:hint="eastAsia"/>
          <w:sz w:val="24"/>
        </w:rPr>
        <w:t>（如图6所示的平台一体化能力基座架构图）</w:t>
      </w:r>
      <w:r>
        <w:rPr>
          <w:sz w:val="24"/>
        </w:rPr>
        <w:t>能够从"项目交付物"进化为学校可持续运营的"智能资产运营平台"，为未来的扩展和演进提供坚实保障。</w:t>
      </w:r>
    </w:p>
    <w:p w14:paraId="47967372">
      <w:pPr>
        <w:spacing w:line="360" w:lineRule="auto"/>
        <w:ind w:firstLine="480" w:firstLineChars="200"/>
        <w:rPr>
          <w:sz w:val="24"/>
        </w:rPr>
      </w:pPr>
    </w:p>
    <w:p w14:paraId="71D7C396">
      <w:pPr>
        <w:spacing w:line="360" w:lineRule="auto"/>
        <w:jc w:val="center"/>
        <w:rPr>
          <w:sz w:val="24"/>
        </w:rPr>
      </w:pPr>
      <w:r>
        <w:rPr>
          <w:sz w:val="24"/>
        </w:rPr>
        <w:drawing>
          <wp:inline distT="0" distB="0" distL="114300" distR="114300">
            <wp:extent cx="5273675" cy="2974975"/>
            <wp:effectExtent l="0" t="0" r="3175" b="0"/>
            <wp:docPr id="6" name="图片 6" descr="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2.1."/>
                    <pic:cNvPicPr>
                      <a:picLocks noChangeAspect="1"/>
                    </pic:cNvPicPr>
                  </pic:nvPicPr>
                  <pic:blipFill>
                    <a:blip r:embed="rId10"/>
                    <a:stretch>
                      <a:fillRect/>
                    </a:stretch>
                  </pic:blipFill>
                  <pic:spPr>
                    <a:xfrm>
                      <a:off x="0" y="0"/>
                      <a:ext cx="5285671" cy="2981432"/>
                    </a:xfrm>
                    <a:prstGeom prst="rect">
                      <a:avLst/>
                    </a:prstGeom>
                  </pic:spPr>
                </pic:pic>
              </a:graphicData>
            </a:graphic>
          </wp:inline>
        </w:drawing>
      </w:r>
    </w:p>
    <w:p w14:paraId="7D775643">
      <w:pPr>
        <w:pStyle w:val="2"/>
        <w:spacing w:line="360" w:lineRule="auto"/>
        <w:jc w:val="center"/>
        <w:rPr>
          <w:rFonts w:asciiTheme="minorHAnsi" w:hAnsiTheme="minorHAnsi" w:eastAsiaTheme="minorEastAsia"/>
          <w:b/>
          <w:bCs/>
          <w:sz w:val="21"/>
        </w:rPr>
      </w:pPr>
      <w:r>
        <w:rPr>
          <w:rFonts w:hint="eastAsia" w:asciiTheme="minorHAnsi" w:hAnsiTheme="minorHAnsi" w:eastAsiaTheme="minorEastAsia"/>
          <w:b/>
          <w:bCs/>
          <w:sz w:val="21"/>
        </w:rPr>
        <w:t>图6 平台一体化能力基座架构图</w:t>
      </w:r>
    </w:p>
    <w:p w14:paraId="66354372">
      <w:pPr>
        <w:spacing w:line="360" w:lineRule="auto"/>
        <w:jc w:val="left"/>
        <w:rPr>
          <w:sz w:val="24"/>
        </w:rPr>
      </w:pPr>
    </w:p>
    <w:p w14:paraId="2469570A">
      <w:pPr>
        <w:numPr>
          <w:ilvl w:val="2"/>
          <w:numId w:val="1"/>
        </w:numPr>
        <w:spacing w:line="360" w:lineRule="auto"/>
        <w:outlineLvl w:val="2"/>
        <w:rPr>
          <w:b/>
          <w:bCs/>
          <w:sz w:val="28"/>
          <w:szCs w:val="28"/>
        </w:rPr>
      </w:pPr>
      <w:bookmarkStart w:id="11" w:name="_Toc221113236"/>
      <w:r>
        <w:rPr>
          <w:b/>
          <w:bCs/>
          <w:sz w:val="28"/>
          <w:szCs w:val="28"/>
        </w:rPr>
        <w:t>场景化智能应用与服务：打造即插即用的"价值模块"</w:t>
      </w:r>
      <w:bookmarkEnd w:id="11"/>
    </w:p>
    <w:p w14:paraId="783CE050">
      <w:pPr>
        <w:spacing w:line="360" w:lineRule="auto"/>
        <w:jc w:val="left"/>
        <w:rPr>
          <w:sz w:val="24"/>
        </w:rPr>
      </w:pPr>
    </w:p>
    <w:p w14:paraId="52765A6B">
      <w:pPr>
        <w:spacing w:line="360" w:lineRule="auto"/>
        <w:ind w:firstLine="480" w:firstLineChars="200"/>
        <w:rPr>
          <w:sz w:val="24"/>
        </w:rPr>
      </w:pPr>
      <w:r>
        <w:rPr>
          <w:sz w:val="24"/>
        </w:rPr>
        <w:t>招标文件明确要求开发"AI问数"标准应用，并提供产业人才数据服务。我们洞察到，这超越了单纯的功能交付，其核心意图在于：通过高价值、可感知的标杆场景，快速验证平台能力，并交付立即可用的智能工具，同时建立持续的数据服务机制，实现项目价值的早期呈现与持续注入。这直接服务于项目核心目标中"服务"维度的要求。</w:t>
      </w:r>
    </w:p>
    <w:p w14:paraId="2177905E">
      <w:pPr>
        <w:spacing w:line="360" w:lineRule="auto"/>
        <w:ind w:firstLine="480" w:firstLineChars="200"/>
        <w:rPr>
          <w:sz w:val="24"/>
        </w:rPr>
      </w:pPr>
    </w:p>
    <w:p w14:paraId="02EA234B">
      <w:pPr>
        <w:spacing w:line="360" w:lineRule="auto"/>
        <w:ind w:firstLine="480" w:firstLineChars="200"/>
        <w:rPr>
          <w:sz w:val="24"/>
        </w:rPr>
      </w:pPr>
      <w:r>
        <w:rPr>
          <w:sz w:val="24"/>
        </w:rPr>
        <w:drawing>
          <wp:anchor distT="0" distB="0" distL="114300" distR="114300" simplePos="0" relativeHeight="251661312" behindDoc="0" locked="0" layoutInCell="1" allowOverlap="1">
            <wp:simplePos x="0" y="0"/>
            <wp:positionH relativeFrom="column">
              <wp:posOffset>-197485</wp:posOffset>
            </wp:positionH>
            <wp:positionV relativeFrom="paragraph">
              <wp:posOffset>2846070</wp:posOffset>
            </wp:positionV>
            <wp:extent cx="5676265" cy="603250"/>
            <wp:effectExtent l="0" t="0" r="635" b="6350"/>
            <wp:wrapSquare wrapText="bothSides"/>
            <wp:docPr id="7" name="图片 7" descr="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2.2."/>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676265" cy="603250"/>
                    </a:xfrm>
                    <a:prstGeom prst="rect">
                      <a:avLst/>
                    </a:prstGeom>
                  </pic:spPr>
                </pic:pic>
              </a:graphicData>
            </a:graphic>
          </wp:anchor>
        </w:drawing>
      </w:r>
      <w:r>
        <w:rPr>
          <w:sz w:val="24"/>
        </w:rPr>
        <w:t>"AI问数"应用的设计理念是"数据民主化"的实践典范</w:t>
      </w:r>
      <w:r>
        <w:rPr>
          <w:rFonts w:hint="eastAsia"/>
          <w:sz w:val="24"/>
        </w:rPr>
        <w:t>，其AI问数应用架构如图7所示：</w:t>
      </w:r>
      <w:r>
        <w:rPr>
          <w:sz w:val="24"/>
        </w:rPr>
        <w:t>它基于自然语言交互界面，其技术关键在于背后与学校治理后的主题数据、知识图谱的深度语义耦合。我们理解，这不仅仅是提供一个问答接口，更是要构建一个能够让业务人员以最自然的方式访问复杂数据体系的人机交互范式。通过大语言模型的自然语言理解能力与学校特定数据语义模型的结合，管理者可以直接询问"本学期智能制造专业实训设备使用率与故障率的关联情况是什么？"这样的复杂问题，系统能够自动解析意图、关联相关数据表、调用分析模型，并以图文并茂的方式呈现洞察。这种交互模式将彻底改变传统依赖技术部门定制报表的工作方式，使数据驱动决策成为日常管理的新常态。</w:t>
      </w:r>
    </w:p>
    <w:p w14:paraId="6B58B01D">
      <w:pPr>
        <w:spacing w:line="360" w:lineRule="auto"/>
        <w:jc w:val="center"/>
        <w:rPr>
          <w:b/>
          <w:bCs/>
        </w:rPr>
      </w:pPr>
    </w:p>
    <w:p w14:paraId="44692766">
      <w:pPr>
        <w:spacing w:line="360" w:lineRule="auto"/>
        <w:jc w:val="center"/>
        <w:rPr>
          <w:b/>
          <w:bCs/>
        </w:rPr>
      </w:pPr>
      <w:r>
        <w:rPr>
          <w:rFonts w:hint="eastAsia"/>
          <w:b/>
          <w:bCs/>
        </w:rPr>
        <w:t>图7 AI问数应用架构</w:t>
      </w:r>
    </w:p>
    <w:p w14:paraId="11193CF7">
      <w:pPr>
        <w:spacing w:line="360" w:lineRule="auto"/>
        <w:jc w:val="center"/>
        <w:rPr>
          <w:b/>
          <w:bCs/>
        </w:rPr>
      </w:pPr>
    </w:p>
    <w:p w14:paraId="10447918">
      <w:pPr>
        <w:spacing w:line="360" w:lineRule="auto"/>
        <w:ind w:firstLine="480" w:firstLineChars="200"/>
        <w:rPr>
          <w:sz w:val="24"/>
        </w:rPr>
      </w:pPr>
      <w:r>
        <w:rPr>
          <w:rFonts w:hint="eastAsia"/>
          <w:sz w:val="24"/>
        </w:rPr>
        <w:t>特别值得注意的是，招标文件中明确要求基于平台能力开发“AI问数-岗位能力图谱数据查询”应用。这精准地揭示了项目建设与学校核心使命——高素质技术技能人才培养——深度融合的内在需求。通过将产业人才数据服务持续产出的、动态更新的标准化岗位能力图谱，与校内专业的课程体系数据、学生的过程性与结果性技能评价数据等进行智能关联与映射，该应用能够为专业负责人提供实时、可视化的“专业-岗位”匹配度分析与预警，为招生就业部门提供基于区域产业需求的“人才供给-市场需求”动态研判与趋势报告。此类场景化应用不仅是平台技术实力的有力证明，更是直击业务痛点、交付明确业务价值的核心体现。</w:t>
      </w:r>
    </w:p>
    <w:p w14:paraId="2DE64B63">
      <w:pPr>
        <w:spacing w:line="360" w:lineRule="auto"/>
        <w:ind w:firstLine="480" w:firstLineChars="200"/>
        <w:rPr>
          <w:sz w:val="24"/>
        </w:rPr>
      </w:pPr>
    </w:p>
    <w:p w14:paraId="76E6DB3F">
      <w:pPr>
        <w:spacing w:line="360" w:lineRule="auto"/>
        <w:ind w:firstLine="480" w:firstLineChars="200"/>
        <w:rPr>
          <w:sz w:val="24"/>
        </w:rPr>
      </w:pPr>
      <w:r>
        <w:rPr>
          <w:rFonts w:hint="eastAsia"/>
          <w:sz w:val="24"/>
        </w:rPr>
        <w:t>我们将“AI问数”应用的整个开发过程，精心设计为一个开放、透明的“全景样板工程”。从初始的业务需求碰撞、数据接口对接，到中期的可视化工作流编排、智能算法集成，直至最终的应用部署与权限配置，我们都将向校方核心团队进行全景展示与过程赋能。这种“授人以渔”的深度伴随模式，旨在生动演绎如何利用本平台的各项基础能力，将一个抽象的业务构想快速转化为解决实际问题的智能工具。我们期望通过这一标杆的树立，有效激发校内各院系、职能部门结合自身业务特点，萌发并实践更多的智能化场景创新思路，从而在校园内形成“示范一个，激活一片，带动全局”的良性扩散效应，加速校内数字化创新生态的培育与成熟。</w:t>
      </w:r>
    </w:p>
    <w:p w14:paraId="1175E844">
      <w:pPr>
        <w:spacing w:line="360" w:lineRule="auto"/>
        <w:jc w:val="left"/>
        <w:rPr>
          <w:sz w:val="24"/>
        </w:rPr>
      </w:pPr>
    </w:p>
    <w:p w14:paraId="735C2D3A">
      <w:pPr>
        <w:numPr>
          <w:ilvl w:val="2"/>
          <w:numId w:val="1"/>
        </w:numPr>
        <w:spacing w:line="360" w:lineRule="auto"/>
        <w:outlineLvl w:val="2"/>
        <w:rPr>
          <w:b/>
          <w:bCs/>
          <w:sz w:val="28"/>
          <w:szCs w:val="28"/>
        </w:rPr>
      </w:pPr>
      <w:bookmarkStart w:id="12" w:name="_Toc221113237"/>
      <w:r>
        <w:rPr>
          <w:b/>
          <w:bCs/>
          <w:sz w:val="28"/>
          <w:szCs w:val="28"/>
        </w:rPr>
        <w:t>全生命周期保障与赋能体系：培育自我驱动的"创新生态"</w:t>
      </w:r>
      <w:bookmarkEnd w:id="12"/>
    </w:p>
    <w:p w14:paraId="323FF093">
      <w:pPr>
        <w:spacing w:line="360" w:lineRule="auto"/>
        <w:jc w:val="left"/>
        <w:rPr>
          <w:sz w:val="24"/>
        </w:rPr>
      </w:pPr>
    </w:p>
    <w:p w14:paraId="59FCFD76">
      <w:pPr>
        <w:spacing w:line="360" w:lineRule="auto"/>
        <w:ind w:firstLine="480" w:firstLineChars="200"/>
        <w:rPr>
          <w:sz w:val="24"/>
        </w:rPr>
      </w:pPr>
      <w:r>
        <w:rPr>
          <w:sz w:val="24"/>
        </w:rPr>
        <w:t>招标文件对三年质保、7×24小时响应及知识转移培训提出了明确且严格的要求。我们深刻理解，这部分需求的终极目标不仅是确保平台的稳定运行，更是要建立一套完善的保障与赋能体系，确保平台在交付后能够持续'活'起来、'用'得好，并最终实现校内团队的能力内化与生态自生长，从而完成从"工具交付"到"能力赋能"的深度转型，这直接对应项目核心目标中的"赋能"层面。</w:t>
      </w:r>
    </w:p>
    <w:p w14:paraId="59946B56">
      <w:pPr>
        <w:spacing w:line="360" w:lineRule="auto"/>
        <w:ind w:firstLine="480" w:firstLineChars="200"/>
        <w:rPr>
          <w:sz w:val="24"/>
        </w:rPr>
      </w:pPr>
    </w:p>
    <w:p w14:paraId="2DE6A96B">
      <w:pPr>
        <w:spacing w:line="360" w:lineRule="auto"/>
        <w:ind w:firstLine="480" w:firstLineChars="200"/>
        <w:rPr>
          <w:sz w:val="24"/>
        </w:rPr>
      </w:pPr>
      <w:r>
        <w:rPr>
          <w:sz w:val="24"/>
        </w:rPr>
        <w:t>我们对运维保障需求的理解超越了传统的被动响应模式。平台上线后，将进入为期三年的深度服务期，这期间我们需要建立的是"主动预防+快速响应"的双重保障机制。通过平台内置的健康监测与智能预警系统，我们能够实现对应用性能、数据管道、模型效果的实时监控，在问题发生前识别风险并提前干预。同时，基于SLA（服务等级协议）的7×24小时响应体系，确保任何突发问题都能在规定时间内得到有效处理。我们特别重视招标文件中"每半年检查一次"的要求，这不仅是技术巡检，更是与校方定期沟通业务使用情况、收集优化需求的重要契机，使平台能够伴随业务发展而持续演进。</w:t>
      </w:r>
    </w:p>
    <w:p w14:paraId="04FE4C49">
      <w:pPr>
        <w:spacing w:line="360" w:lineRule="auto"/>
        <w:ind w:firstLine="480" w:firstLineChars="200"/>
        <w:rPr>
          <w:sz w:val="24"/>
        </w:rPr>
      </w:pPr>
    </w:p>
    <w:p w14:paraId="2AC13AE7">
      <w:pPr>
        <w:spacing w:line="360" w:lineRule="auto"/>
        <w:ind w:firstLine="480" w:firstLineChars="200"/>
        <w:rPr>
          <w:sz w:val="24"/>
        </w:rPr>
      </w:pPr>
      <w:r>
        <w:rPr>
          <w:sz w:val="24"/>
        </w:rPr>
        <w:t>更为关键的是对"知识转移培训"需求的理解。我们认识到，培训的最终目标不是让用户学会操作按钮，而是要培养一支能够理解平台设计理念、掌握低代码开发方法、具备数据思维的业务骨干团队。因此，我们设计的培训体系是"阶梯式、场景化、持续型"的。在初期，重点培训平台管理员和核心业务人员，使其掌握系统配置、用户管理和基础应用开发能力；在中后期，通过工作坊、实战演练等形式，围绕学校的具体业务场景（如专业评估、学生画像分析等），指导业务团队自主开发解决实际问题的智能应用。我们还将建立长期的知识共享库和在线社区，提供持续的远程指导和学习资源。</w:t>
      </w:r>
    </w:p>
    <w:p w14:paraId="51FD741A">
      <w:pPr>
        <w:spacing w:line="360" w:lineRule="auto"/>
        <w:ind w:firstLine="480" w:firstLineChars="200"/>
        <w:rPr>
          <w:sz w:val="24"/>
        </w:rPr>
      </w:pPr>
    </w:p>
    <w:p w14:paraId="035BEE87">
      <w:pPr>
        <w:spacing w:line="360" w:lineRule="auto"/>
        <w:ind w:firstLine="480" w:firstLineChars="200"/>
        <w:rPr>
          <w:sz w:val="24"/>
        </w:rPr>
      </w:pPr>
      <w:r>
        <w:rPr>
          <w:sz w:val="24"/>
        </w:rPr>
        <w:t>这种赋能体系的最终目标是激发校内创新活力，培育一批能够自主利用平台解决实际问题的"校园AI开发师"，从而形成一个具有自我造血功能的智能化创新生态。当各二级学院、职能部门都能基于平台开发自己的智能工具时，平台就真正从"建设方的系统"转变为"学校自己的智能中枢"，其价值将得到指数级放大。</w:t>
      </w:r>
    </w:p>
    <w:p w14:paraId="78DA65CA">
      <w:pPr>
        <w:pStyle w:val="2"/>
        <w:spacing w:line="360" w:lineRule="auto"/>
        <w:jc w:val="center"/>
        <w:rPr>
          <w:sz w:val="24"/>
        </w:rPr>
      </w:pPr>
      <w:r>
        <w:rPr>
          <w:rFonts w:hint="eastAsia" w:asciiTheme="minorHAnsi" w:hAnsiTheme="minorHAnsi" w:eastAsiaTheme="minorEastAsia"/>
          <w:b/>
          <w:bCs/>
          <w:sz w:val="21"/>
        </w:rPr>
        <w:t>表3 平台“技术、数据、培训、生态”四维能力建设阶段规划表</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2695"/>
        <w:gridCol w:w="2517"/>
        <w:gridCol w:w="2638"/>
      </w:tblGrid>
      <w:tr w14:paraId="791FD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2" w:type="dxa"/>
          </w:tcPr>
          <w:p w14:paraId="6D7FF1CA">
            <w:pPr>
              <w:spacing w:line="360" w:lineRule="auto"/>
              <w:jc w:val="center"/>
              <w:rPr>
                <w:b/>
                <w:bCs/>
                <w:sz w:val="24"/>
              </w:rPr>
            </w:pPr>
            <w:r>
              <w:rPr>
                <w:b/>
                <w:bCs/>
                <w:sz w:val="24"/>
              </w:rPr>
              <w:t>阶段维度</w:t>
            </w:r>
          </w:p>
        </w:tc>
        <w:tc>
          <w:tcPr>
            <w:tcW w:w="2695" w:type="dxa"/>
          </w:tcPr>
          <w:p w14:paraId="606BB284">
            <w:pPr>
              <w:spacing w:line="360" w:lineRule="auto"/>
              <w:jc w:val="center"/>
              <w:rPr>
                <w:b/>
                <w:bCs/>
                <w:sz w:val="24"/>
              </w:rPr>
            </w:pPr>
            <w:r>
              <w:rPr>
                <w:b/>
                <w:bCs/>
                <w:sz w:val="24"/>
              </w:rPr>
              <w:t>建设与交付期（60日历日）</w:t>
            </w:r>
          </w:p>
        </w:tc>
        <w:tc>
          <w:tcPr>
            <w:tcW w:w="2517" w:type="dxa"/>
          </w:tcPr>
          <w:p w14:paraId="1EAC4D98">
            <w:pPr>
              <w:spacing w:line="360" w:lineRule="auto"/>
              <w:jc w:val="center"/>
              <w:rPr>
                <w:b/>
                <w:bCs/>
                <w:sz w:val="24"/>
              </w:rPr>
            </w:pPr>
            <w:r>
              <w:rPr>
                <w:b/>
                <w:bCs/>
                <w:sz w:val="24"/>
              </w:rPr>
              <w:t>深化应用期（3-12个月）</w:t>
            </w:r>
          </w:p>
        </w:tc>
        <w:tc>
          <w:tcPr>
            <w:tcW w:w="2638" w:type="dxa"/>
          </w:tcPr>
          <w:p w14:paraId="53297950">
            <w:pPr>
              <w:spacing w:line="360" w:lineRule="auto"/>
              <w:jc w:val="center"/>
              <w:rPr>
                <w:b/>
                <w:bCs/>
                <w:sz w:val="24"/>
              </w:rPr>
            </w:pPr>
            <w:r>
              <w:rPr>
                <w:b/>
                <w:bCs/>
                <w:sz w:val="24"/>
              </w:rPr>
              <w:t>自主演进期（13-36个月）</w:t>
            </w:r>
          </w:p>
        </w:tc>
      </w:tr>
      <w:tr w14:paraId="666C3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1" w:hRule="atLeast"/>
        </w:trPr>
        <w:tc>
          <w:tcPr>
            <w:tcW w:w="672" w:type="dxa"/>
          </w:tcPr>
          <w:p w14:paraId="5639D36E">
            <w:pPr>
              <w:spacing w:line="360" w:lineRule="auto"/>
              <w:jc w:val="center"/>
              <w:rPr>
                <w:b/>
                <w:bCs/>
                <w:sz w:val="24"/>
              </w:rPr>
            </w:pPr>
            <w:r>
              <w:rPr>
                <w:b/>
                <w:bCs/>
                <w:sz w:val="24"/>
              </w:rPr>
              <w:t>技术保障</w:t>
            </w:r>
          </w:p>
        </w:tc>
        <w:tc>
          <w:tcPr>
            <w:tcW w:w="2695" w:type="dxa"/>
          </w:tcPr>
          <w:p w14:paraId="03710D4A">
            <w:pPr>
              <w:spacing w:line="360" w:lineRule="auto"/>
              <w:jc w:val="left"/>
              <w:rPr>
                <w:sz w:val="24"/>
              </w:rPr>
            </w:pPr>
            <w:r>
              <w:rPr>
                <w:sz w:val="24"/>
              </w:rPr>
              <w:t>核心任务：系统部署与核心功能交付</w:t>
            </w:r>
          </w:p>
          <w:p w14:paraId="231779B2">
            <w:pPr>
              <w:spacing w:line="360" w:lineRule="auto"/>
              <w:jc w:val="left"/>
              <w:rPr>
                <w:sz w:val="24"/>
              </w:rPr>
            </w:pPr>
            <w:r>
              <w:rPr>
                <w:sz w:val="24"/>
              </w:rPr>
              <w:t>关键交付：</w:t>
            </w:r>
          </w:p>
          <w:p w14:paraId="56A462C7">
            <w:pPr>
              <w:spacing w:line="360" w:lineRule="auto"/>
              <w:jc w:val="left"/>
              <w:rPr>
                <w:sz w:val="24"/>
              </w:rPr>
            </w:pPr>
            <w:r>
              <w:rPr>
                <w:sz w:val="24"/>
              </w:rPr>
              <w:t>• 平台生产环境与3个以上系统对接</w:t>
            </w:r>
          </w:p>
          <w:p w14:paraId="7B6E4036">
            <w:pPr>
              <w:spacing w:line="360" w:lineRule="auto"/>
              <w:jc w:val="left"/>
              <w:rPr>
                <w:sz w:val="24"/>
              </w:rPr>
            </w:pPr>
            <w:r>
              <w:rPr>
                <w:sz w:val="24"/>
              </w:rPr>
              <w:t>• 数据湖、知识库、AI引擎模块可用</w:t>
            </w:r>
          </w:p>
          <w:p w14:paraId="4FA2423D">
            <w:pPr>
              <w:spacing w:line="360" w:lineRule="auto"/>
              <w:jc w:val="left"/>
              <w:rPr>
                <w:sz w:val="24"/>
              </w:rPr>
            </w:pPr>
            <w:r>
              <w:rPr>
                <w:sz w:val="24"/>
              </w:rPr>
              <w:t>• “AI问数”标准应用上线</w:t>
            </w:r>
          </w:p>
          <w:p w14:paraId="1ED40A49">
            <w:pPr>
              <w:spacing w:line="360" w:lineRule="auto"/>
              <w:jc w:val="left"/>
              <w:rPr>
                <w:sz w:val="24"/>
              </w:rPr>
            </w:pPr>
            <w:r>
              <w:rPr>
                <w:sz w:val="24"/>
              </w:rPr>
              <w:t>成果标志：项目验收合格，平台稳定运行</w:t>
            </w:r>
          </w:p>
        </w:tc>
        <w:tc>
          <w:tcPr>
            <w:tcW w:w="2517" w:type="dxa"/>
          </w:tcPr>
          <w:p w14:paraId="479B4A1E">
            <w:pPr>
              <w:spacing w:line="360" w:lineRule="auto"/>
              <w:jc w:val="left"/>
              <w:rPr>
                <w:sz w:val="24"/>
              </w:rPr>
            </w:pPr>
            <w:r>
              <w:rPr>
                <w:sz w:val="24"/>
              </w:rPr>
              <w:t>核心任务：运维保障与功能迭代</w:t>
            </w:r>
          </w:p>
          <w:p w14:paraId="2B773232">
            <w:pPr>
              <w:spacing w:line="360" w:lineRule="auto"/>
              <w:jc w:val="left"/>
              <w:rPr>
                <w:sz w:val="24"/>
              </w:rPr>
            </w:pPr>
            <w:r>
              <w:rPr>
                <w:sz w:val="24"/>
              </w:rPr>
              <w:t>关键交付：</w:t>
            </w:r>
          </w:p>
          <w:p w14:paraId="16CD8514">
            <w:pPr>
              <w:spacing w:line="360" w:lineRule="auto"/>
              <w:jc w:val="left"/>
              <w:rPr>
                <w:sz w:val="24"/>
              </w:rPr>
            </w:pPr>
            <w:r>
              <w:rPr>
                <w:sz w:val="24"/>
              </w:rPr>
              <w:t>• 半年一次系统巡检报告</w:t>
            </w:r>
          </w:p>
          <w:p w14:paraId="65770CBB">
            <w:pPr>
              <w:spacing w:line="360" w:lineRule="auto"/>
              <w:jc w:val="left"/>
              <w:rPr>
                <w:sz w:val="24"/>
              </w:rPr>
            </w:pPr>
            <w:r>
              <w:rPr>
                <w:sz w:val="24"/>
              </w:rPr>
              <w:t>• 至少2次功能升级迭代</w:t>
            </w:r>
          </w:p>
          <w:p w14:paraId="2330522E">
            <w:pPr>
              <w:spacing w:line="360" w:lineRule="auto"/>
              <w:jc w:val="left"/>
              <w:rPr>
                <w:sz w:val="24"/>
              </w:rPr>
            </w:pPr>
            <w:r>
              <w:rPr>
                <w:sz w:val="24"/>
              </w:rPr>
              <w:t>• 7x24小时故障快速响应</w:t>
            </w:r>
          </w:p>
          <w:p w14:paraId="0FCD65F0">
            <w:pPr>
              <w:spacing w:line="360" w:lineRule="auto"/>
              <w:jc w:val="left"/>
              <w:rPr>
                <w:sz w:val="24"/>
              </w:rPr>
            </w:pPr>
            <w:r>
              <w:rPr>
                <w:sz w:val="24"/>
              </w:rPr>
              <w:t>成果标志：系统可用性&gt;99.5%，用户满意度提升</w:t>
            </w:r>
          </w:p>
        </w:tc>
        <w:tc>
          <w:tcPr>
            <w:tcW w:w="2638" w:type="dxa"/>
          </w:tcPr>
          <w:p w14:paraId="55CC56A4">
            <w:pPr>
              <w:spacing w:line="360" w:lineRule="auto"/>
              <w:jc w:val="left"/>
              <w:rPr>
                <w:sz w:val="24"/>
              </w:rPr>
            </w:pPr>
            <w:r>
              <w:rPr>
                <w:sz w:val="24"/>
              </w:rPr>
              <w:t>核心任务：服务平稳过渡</w:t>
            </w:r>
          </w:p>
          <w:p w14:paraId="1B24C319">
            <w:pPr>
              <w:spacing w:line="360" w:lineRule="auto"/>
              <w:jc w:val="left"/>
              <w:rPr>
                <w:sz w:val="24"/>
              </w:rPr>
            </w:pPr>
            <w:r>
              <w:rPr>
                <w:sz w:val="24"/>
              </w:rPr>
              <w:t>关键交付：</w:t>
            </w:r>
          </w:p>
          <w:p w14:paraId="6C5D50AC">
            <w:pPr>
              <w:spacing w:line="360" w:lineRule="auto"/>
              <w:jc w:val="left"/>
              <w:rPr>
                <w:sz w:val="24"/>
              </w:rPr>
            </w:pPr>
            <w:r>
              <w:rPr>
                <w:sz w:val="24"/>
              </w:rPr>
              <w:t>• 完整运维知识库移交</w:t>
            </w:r>
          </w:p>
          <w:p w14:paraId="52ECD856">
            <w:pPr>
              <w:spacing w:line="360" w:lineRule="auto"/>
              <w:jc w:val="left"/>
              <w:rPr>
                <w:sz w:val="24"/>
              </w:rPr>
            </w:pPr>
            <w:r>
              <w:rPr>
                <w:sz w:val="24"/>
              </w:rPr>
              <w:t>• 系统安全年度评估报告</w:t>
            </w:r>
          </w:p>
          <w:p w14:paraId="63342CD6">
            <w:pPr>
              <w:spacing w:line="360" w:lineRule="auto"/>
              <w:jc w:val="left"/>
              <w:rPr>
                <w:sz w:val="24"/>
              </w:rPr>
            </w:pPr>
            <w:r>
              <w:rPr>
                <w:sz w:val="24"/>
              </w:rPr>
              <w:t>• 服务延续方案</w:t>
            </w:r>
          </w:p>
          <w:p w14:paraId="63A90686">
            <w:pPr>
              <w:spacing w:line="360" w:lineRule="auto"/>
              <w:jc w:val="left"/>
              <w:rPr>
                <w:sz w:val="24"/>
              </w:rPr>
            </w:pPr>
            <w:r>
              <w:rPr>
                <w:sz w:val="24"/>
              </w:rPr>
              <w:t>成果标志：校内团队独立运维，服务SLA持续达标</w:t>
            </w:r>
          </w:p>
        </w:tc>
      </w:tr>
      <w:tr w14:paraId="669D60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2" w:type="dxa"/>
          </w:tcPr>
          <w:p w14:paraId="612F36B4">
            <w:pPr>
              <w:spacing w:line="360" w:lineRule="auto"/>
              <w:jc w:val="center"/>
              <w:rPr>
                <w:b/>
                <w:bCs/>
                <w:sz w:val="24"/>
              </w:rPr>
            </w:pPr>
            <w:r>
              <w:rPr>
                <w:b/>
                <w:bCs/>
                <w:sz w:val="24"/>
              </w:rPr>
              <w:t>数据服务</w:t>
            </w:r>
          </w:p>
        </w:tc>
        <w:tc>
          <w:tcPr>
            <w:tcW w:w="2695" w:type="dxa"/>
          </w:tcPr>
          <w:p w14:paraId="6B528D40">
            <w:pPr>
              <w:spacing w:line="360" w:lineRule="auto"/>
              <w:jc w:val="left"/>
              <w:rPr>
                <w:sz w:val="24"/>
              </w:rPr>
            </w:pPr>
            <w:r>
              <w:rPr>
                <w:sz w:val="24"/>
              </w:rPr>
              <w:t>核心任务：基础数据资产建设</w:t>
            </w:r>
          </w:p>
          <w:p w14:paraId="5901C5BD">
            <w:pPr>
              <w:spacing w:line="360" w:lineRule="auto"/>
              <w:jc w:val="left"/>
              <w:rPr>
                <w:sz w:val="24"/>
              </w:rPr>
            </w:pPr>
            <w:r>
              <w:rPr>
                <w:sz w:val="24"/>
              </w:rPr>
              <w:t>关键交付：</w:t>
            </w:r>
          </w:p>
          <w:p w14:paraId="340BB64F">
            <w:pPr>
              <w:spacing w:line="360" w:lineRule="auto"/>
              <w:jc w:val="left"/>
              <w:rPr>
                <w:sz w:val="24"/>
              </w:rPr>
            </w:pPr>
            <w:r>
              <w:rPr>
                <w:sz w:val="24"/>
              </w:rPr>
              <w:t>• 产业人才图谱V1.0</w:t>
            </w:r>
          </w:p>
          <w:p w14:paraId="405DB596">
            <w:pPr>
              <w:spacing w:line="360" w:lineRule="auto"/>
              <w:jc w:val="left"/>
              <w:rPr>
                <w:sz w:val="24"/>
              </w:rPr>
            </w:pPr>
            <w:r>
              <w:rPr>
                <w:sz w:val="24"/>
              </w:rPr>
              <w:t>• 职教知识库（含150+政策、750+国标）</w:t>
            </w:r>
          </w:p>
          <w:p w14:paraId="660C20DE">
            <w:pPr>
              <w:spacing w:line="360" w:lineRule="auto"/>
              <w:jc w:val="left"/>
              <w:rPr>
                <w:sz w:val="24"/>
              </w:rPr>
            </w:pPr>
            <w:r>
              <w:rPr>
                <w:sz w:val="24"/>
              </w:rPr>
              <w:t>• 学生画像主题数据模型</w:t>
            </w:r>
          </w:p>
          <w:p w14:paraId="7A55DBA2">
            <w:pPr>
              <w:spacing w:line="360" w:lineRule="auto"/>
              <w:jc w:val="left"/>
              <w:rPr>
                <w:sz w:val="24"/>
              </w:rPr>
            </w:pPr>
            <w:r>
              <w:rPr>
                <w:sz w:val="24"/>
              </w:rPr>
              <w:t>成果标志：数据接口可调用，支撑“AI问数”应用</w:t>
            </w:r>
          </w:p>
        </w:tc>
        <w:tc>
          <w:tcPr>
            <w:tcW w:w="2517" w:type="dxa"/>
          </w:tcPr>
          <w:p w14:paraId="4AD7C0C6">
            <w:pPr>
              <w:spacing w:line="360" w:lineRule="auto"/>
              <w:jc w:val="left"/>
              <w:rPr>
                <w:sz w:val="24"/>
              </w:rPr>
            </w:pPr>
            <w:r>
              <w:rPr>
                <w:sz w:val="24"/>
              </w:rPr>
              <w:t>核心任务：数据持续更新与服务扩展</w:t>
            </w:r>
          </w:p>
          <w:p w14:paraId="520B4D8F">
            <w:pPr>
              <w:spacing w:line="360" w:lineRule="auto"/>
              <w:jc w:val="left"/>
              <w:rPr>
                <w:sz w:val="24"/>
              </w:rPr>
            </w:pPr>
            <w:r>
              <w:rPr>
                <w:sz w:val="24"/>
              </w:rPr>
              <w:t>关键交付：</w:t>
            </w:r>
          </w:p>
          <w:p w14:paraId="16AB5ACB">
            <w:pPr>
              <w:spacing w:line="360" w:lineRule="auto"/>
              <w:jc w:val="left"/>
              <w:rPr>
                <w:sz w:val="24"/>
              </w:rPr>
            </w:pPr>
            <w:r>
              <w:rPr>
                <w:sz w:val="24"/>
              </w:rPr>
              <w:t>• 季度产业数据更新（3年周期）</w:t>
            </w:r>
          </w:p>
          <w:p w14:paraId="46C6CA2E">
            <w:pPr>
              <w:spacing w:line="360" w:lineRule="auto"/>
              <w:jc w:val="left"/>
              <w:rPr>
                <w:sz w:val="24"/>
              </w:rPr>
            </w:pPr>
            <w:r>
              <w:rPr>
                <w:sz w:val="24"/>
              </w:rPr>
              <w:t>• 新增2-3个业务数据模型</w:t>
            </w:r>
          </w:p>
          <w:p w14:paraId="53471589">
            <w:pPr>
              <w:spacing w:line="360" w:lineRule="auto"/>
              <w:jc w:val="left"/>
              <w:rPr>
                <w:sz w:val="24"/>
              </w:rPr>
            </w:pPr>
            <w:r>
              <w:rPr>
                <w:sz w:val="24"/>
              </w:rPr>
              <w:t>• 定制化数据API服务</w:t>
            </w:r>
          </w:p>
          <w:p w14:paraId="691205E7">
            <w:pPr>
              <w:spacing w:line="360" w:lineRule="auto"/>
              <w:jc w:val="left"/>
              <w:rPr>
                <w:sz w:val="24"/>
              </w:rPr>
            </w:pPr>
            <w:r>
              <w:rPr>
                <w:sz w:val="24"/>
              </w:rPr>
              <w:t>成果标志：数据应用于业务决策，支撑部门创新</w:t>
            </w:r>
          </w:p>
        </w:tc>
        <w:tc>
          <w:tcPr>
            <w:tcW w:w="2638" w:type="dxa"/>
          </w:tcPr>
          <w:p w14:paraId="737966A7">
            <w:pPr>
              <w:spacing w:line="360" w:lineRule="auto"/>
              <w:jc w:val="left"/>
              <w:rPr>
                <w:sz w:val="24"/>
              </w:rPr>
            </w:pPr>
            <w:r>
              <w:rPr>
                <w:sz w:val="24"/>
              </w:rPr>
              <w:t>核心任务：数据治理能力内化</w:t>
            </w:r>
          </w:p>
          <w:p w14:paraId="1363F88D">
            <w:pPr>
              <w:spacing w:line="360" w:lineRule="auto"/>
              <w:jc w:val="left"/>
              <w:rPr>
                <w:sz w:val="24"/>
              </w:rPr>
            </w:pPr>
            <w:r>
              <w:rPr>
                <w:sz w:val="24"/>
              </w:rPr>
              <w:t>关键交付：</w:t>
            </w:r>
          </w:p>
          <w:p w14:paraId="7D42F1A4">
            <w:pPr>
              <w:spacing w:line="360" w:lineRule="auto"/>
              <w:jc w:val="left"/>
              <w:rPr>
                <w:sz w:val="24"/>
              </w:rPr>
            </w:pPr>
            <w:r>
              <w:rPr>
                <w:sz w:val="24"/>
              </w:rPr>
              <w:t>• 数据更新流程标准化文档</w:t>
            </w:r>
          </w:p>
          <w:p w14:paraId="0C3D182B">
            <w:pPr>
              <w:spacing w:line="360" w:lineRule="auto"/>
              <w:jc w:val="left"/>
              <w:rPr>
                <w:sz w:val="24"/>
              </w:rPr>
            </w:pPr>
            <w:r>
              <w:rPr>
                <w:sz w:val="24"/>
              </w:rPr>
              <w:t>• 校内数据质量管理规范</w:t>
            </w:r>
          </w:p>
          <w:p w14:paraId="1ED4D934">
            <w:pPr>
              <w:spacing w:line="360" w:lineRule="auto"/>
              <w:jc w:val="left"/>
              <w:rPr>
                <w:sz w:val="24"/>
              </w:rPr>
            </w:pPr>
            <w:r>
              <w:rPr>
                <w:sz w:val="24"/>
              </w:rPr>
              <w:t>成果标志：学校自主管理数据资产，形成数据文化</w:t>
            </w:r>
          </w:p>
        </w:tc>
      </w:tr>
      <w:tr w14:paraId="3AD6D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2" w:type="dxa"/>
          </w:tcPr>
          <w:p w14:paraId="3E8B1830">
            <w:pPr>
              <w:spacing w:line="360" w:lineRule="auto"/>
              <w:jc w:val="center"/>
              <w:rPr>
                <w:b/>
                <w:bCs/>
                <w:sz w:val="24"/>
              </w:rPr>
            </w:pPr>
            <w:r>
              <w:rPr>
                <w:b/>
                <w:bCs/>
                <w:sz w:val="24"/>
              </w:rPr>
              <w:t>能力培训</w:t>
            </w:r>
          </w:p>
        </w:tc>
        <w:tc>
          <w:tcPr>
            <w:tcW w:w="2695" w:type="dxa"/>
          </w:tcPr>
          <w:p w14:paraId="792BCA8B">
            <w:pPr>
              <w:spacing w:line="360" w:lineRule="auto"/>
              <w:jc w:val="left"/>
              <w:rPr>
                <w:sz w:val="24"/>
              </w:rPr>
            </w:pPr>
            <w:r>
              <w:rPr>
                <w:sz w:val="24"/>
              </w:rPr>
              <w:t>核心任务：基础操作能力建设</w:t>
            </w:r>
          </w:p>
          <w:p w14:paraId="20061FEC">
            <w:pPr>
              <w:spacing w:line="360" w:lineRule="auto"/>
              <w:jc w:val="left"/>
              <w:rPr>
                <w:sz w:val="24"/>
              </w:rPr>
            </w:pPr>
            <w:r>
              <w:rPr>
                <w:sz w:val="24"/>
              </w:rPr>
              <w:t>关键交付：</w:t>
            </w:r>
          </w:p>
          <w:p w14:paraId="26036A17">
            <w:pPr>
              <w:spacing w:line="360" w:lineRule="auto"/>
              <w:jc w:val="left"/>
              <w:rPr>
                <w:sz w:val="24"/>
              </w:rPr>
            </w:pPr>
            <w:r>
              <w:rPr>
                <w:sz w:val="24"/>
              </w:rPr>
              <w:t>• 管理员培训与考核认证</w:t>
            </w:r>
          </w:p>
          <w:p w14:paraId="6C09C786">
            <w:pPr>
              <w:spacing w:line="360" w:lineRule="auto"/>
              <w:jc w:val="left"/>
              <w:rPr>
                <w:sz w:val="24"/>
              </w:rPr>
            </w:pPr>
            <w:r>
              <w:rPr>
                <w:sz w:val="24"/>
              </w:rPr>
              <w:t>• “AI问数”应用专项培训</w:t>
            </w:r>
          </w:p>
          <w:p w14:paraId="4E385158">
            <w:pPr>
              <w:spacing w:line="360" w:lineRule="auto"/>
              <w:jc w:val="left"/>
              <w:rPr>
                <w:sz w:val="24"/>
              </w:rPr>
            </w:pPr>
            <w:r>
              <w:rPr>
                <w:sz w:val="24"/>
              </w:rPr>
              <w:t>• 完整培训资料库</w:t>
            </w:r>
          </w:p>
          <w:p w14:paraId="61958BF0">
            <w:pPr>
              <w:spacing w:line="360" w:lineRule="auto"/>
              <w:jc w:val="left"/>
              <w:rPr>
                <w:sz w:val="24"/>
              </w:rPr>
            </w:pPr>
            <w:r>
              <w:rPr>
                <w:sz w:val="24"/>
              </w:rPr>
              <w:t>成果标志：管理员可独立运维，业务团队熟练使用</w:t>
            </w:r>
          </w:p>
        </w:tc>
        <w:tc>
          <w:tcPr>
            <w:tcW w:w="2517" w:type="dxa"/>
          </w:tcPr>
          <w:p w14:paraId="41265067">
            <w:pPr>
              <w:spacing w:line="360" w:lineRule="auto"/>
              <w:jc w:val="left"/>
              <w:rPr>
                <w:sz w:val="24"/>
              </w:rPr>
            </w:pPr>
            <w:r>
              <w:rPr>
                <w:sz w:val="24"/>
              </w:rPr>
              <w:t>核心任务：开发创新能力培养</w:t>
            </w:r>
          </w:p>
          <w:p w14:paraId="75E74D91">
            <w:pPr>
              <w:spacing w:line="360" w:lineRule="auto"/>
              <w:jc w:val="left"/>
              <w:rPr>
                <w:sz w:val="24"/>
              </w:rPr>
            </w:pPr>
            <w:r>
              <w:rPr>
                <w:sz w:val="24"/>
              </w:rPr>
              <w:t>关键交付：</w:t>
            </w:r>
          </w:p>
          <w:p w14:paraId="45979ED3">
            <w:pPr>
              <w:spacing w:line="360" w:lineRule="auto"/>
              <w:jc w:val="left"/>
              <w:rPr>
                <w:sz w:val="24"/>
              </w:rPr>
            </w:pPr>
            <w:r>
              <w:rPr>
                <w:sz w:val="24"/>
              </w:rPr>
              <w:t>• 低代码开发实战工作坊</w:t>
            </w:r>
          </w:p>
          <w:p w14:paraId="64B4D4E6">
            <w:pPr>
              <w:spacing w:line="360" w:lineRule="auto"/>
              <w:jc w:val="left"/>
              <w:rPr>
                <w:sz w:val="24"/>
              </w:rPr>
            </w:pPr>
            <w:r>
              <w:rPr>
                <w:sz w:val="24"/>
              </w:rPr>
              <w:t>• “校园AI开发师”认证（3-5名）</w:t>
            </w:r>
          </w:p>
          <w:p w14:paraId="08586A01">
            <w:pPr>
              <w:spacing w:line="360" w:lineRule="auto"/>
              <w:jc w:val="left"/>
              <w:rPr>
                <w:sz w:val="24"/>
              </w:rPr>
            </w:pPr>
            <w:r>
              <w:rPr>
                <w:sz w:val="24"/>
              </w:rPr>
              <w:t>• 业务应用创新案例</w:t>
            </w:r>
          </w:p>
          <w:p w14:paraId="42E751CC">
            <w:pPr>
              <w:spacing w:line="360" w:lineRule="auto"/>
              <w:jc w:val="left"/>
              <w:rPr>
                <w:sz w:val="24"/>
              </w:rPr>
            </w:pPr>
            <w:r>
              <w:rPr>
                <w:sz w:val="24"/>
              </w:rPr>
              <w:t>成果标志：团队自主开发应用，跨部门协作创新</w:t>
            </w:r>
          </w:p>
        </w:tc>
        <w:tc>
          <w:tcPr>
            <w:tcW w:w="2638" w:type="dxa"/>
          </w:tcPr>
          <w:p w14:paraId="3F39EA1B">
            <w:pPr>
              <w:spacing w:line="360" w:lineRule="auto"/>
              <w:jc w:val="left"/>
              <w:rPr>
                <w:sz w:val="24"/>
              </w:rPr>
            </w:pPr>
            <w:r>
              <w:rPr>
                <w:sz w:val="24"/>
              </w:rPr>
              <w:t>核心任务：赋能体系内生化</w:t>
            </w:r>
          </w:p>
          <w:p w14:paraId="2BD6F656">
            <w:pPr>
              <w:spacing w:line="360" w:lineRule="auto"/>
              <w:jc w:val="left"/>
              <w:rPr>
                <w:sz w:val="24"/>
              </w:rPr>
            </w:pPr>
            <w:r>
              <w:rPr>
                <w:sz w:val="24"/>
              </w:rPr>
              <w:t>关键交付：</w:t>
            </w:r>
          </w:p>
          <w:p w14:paraId="70B503A0">
            <w:pPr>
              <w:spacing w:line="360" w:lineRule="auto"/>
              <w:jc w:val="left"/>
              <w:rPr>
                <w:sz w:val="24"/>
              </w:rPr>
            </w:pPr>
            <w:r>
              <w:rPr>
                <w:sz w:val="24"/>
              </w:rPr>
              <w:t>• 内部讲师培养计划</w:t>
            </w:r>
          </w:p>
          <w:p w14:paraId="6B590EC7">
            <w:pPr>
              <w:spacing w:line="360" w:lineRule="auto"/>
              <w:jc w:val="left"/>
              <w:rPr>
                <w:sz w:val="24"/>
              </w:rPr>
            </w:pPr>
            <w:r>
              <w:rPr>
                <w:sz w:val="24"/>
              </w:rPr>
              <w:t>• 持续学习社区机制</w:t>
            </w:r>
          </w:p>
          <w:p w14:paraId="5298D9A9">
            <w:pPr>
              <w:spacing w:line="360" w:lineRule="auto"/>
              <w:jc w:val="left"/>
              <w:rPr>
                <w:sz w:val="24"/>
              </w:rPr>
            </w:pPr>
            <w:r>
              <w:rPr>
                <w:sz w:val="24"/>
              </w:rPr>
              <w:t>• 创新项目孵化支持</w:t>
            </w:r>
          </w:p>
          <w:p w14:paraId="4CE2FB7D">
            <w:pPr>
              <w:spacing w:line="360" w:lineRule="auto"/>
              <w:jc w:val="left"/>
              <w:rPr>
                <w:sz w:val="24"/>
              </w:rPr>
            </w:pPr>
            <w:r>
              <w:rPr>
                <w:sz w:val="24"/>
              </w:rPr>
              <w:t>成果标志：形成自我赋能生态，创新成果持续涌现</w:t>
            </w:r>
          </w:p>
        </w:tc>
      </w:tr>
      <w:tr w14:paraId="1695F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2" w:type="dxa"/>
          </w:tcPr>
          <w:p w14:paraId="5EBA5FD2">
            <w:pPr>
              <w:spacing w:line="360" w:lineRule="auto"/>
              <w:jc w:val="center"/>
              <w:rPr>
                <w:b/>
                <w:bCs/>
                <w:sz w:val="24"/>
              </w:rPr>
            </w:pPr>
            <w:r>
              <w:rPr>
                <w:b/>
                <w:bCs/>
                <w:sz w:val="24"/>
              </w:rPr>
              <w:t>生态建设</w:t>
            </w:r>
          </w:p>
        </w:tc>
        <w:tc>
          <w:tcPr>
            <w:tcW w:w="2695" w:type="dxa"/>
          </w:tcPr>
          <w:p w14:paraId="2EFAF486">
            <w:pPr>
              <w:spacing w:line="360" w:lineRule="auto"/>
              <w:jc w:val="left"/>
              <w:rPr>
                <w:sz w:val="24"/>
              </w:rPr>
            </w:pPr>
            <w:r>
              <w:rPr>
                <w:sz w:val="24"/>
              </w:rPr>
              <w:t>核心任务：用户基础与场景验证</w:t>
            </w:r>
          </w:p>
          <w:p w14:paraId="6C838E78">
            <w:pPr>
              <w:spacing w:line="360" w:lineRule="auto"/>
              <w:jc w:val="left"/>
              <w:rPr>
                <w:sz w:val="24"/>
              </w:rPr>
            </w:pPr>
            <w:r>
              <w:rPr>
                <w:sz w:val="24"/>
              </w:rPr>
              <w:t>关键交付：</w:t>
            </w:r>
          </w:p>
          <w:p w14:paraId="0DFD90FA">
            <w:pPr>
              <w:spacing w:line="360" w:lineRule="auto"/>
              <w:jc w:val="left"/>
              <w:rPr>
                <w:sz w:val="24"/>
              </w:rPr>
            </w:pPr>
            <w:r>
              <w:rPr>
                <w:sz w:val="24"/>
              </w:rPr>
              <w:t>• 核心用户社群建立（20-30人）</w:t>
            </w:r>
          </w:p>
          <w:p w14:paraId="53AF7234">
            <w:pPr>
              <w:spacing w:line="360" w:lineRule="auto"/>
              <w:jc w:val="left"/>
              <w:rPr>
                <w:sz w:val="24"/>
              </w:rPr>
            </w:pPr>
            <w:r>
              <w:rPr>
                <w:sz w:val="24"/>
              </w:rPr>
              <w:t>• 首批应用场景清单</w:t>
            </w:r>
          </w:p>
          <w:p w14:paraId="0CBD1540">
            <w:pPr>
              <w:spacing w:line="360" w:lineRule="auto"/>
              <w:jc w:val="left"/>
              <w:rPr>
                <w:sz w:val="24"/>
              </w:rPr>
            </w:pPr>
            <w:r>
              <w:rPr>
                <w:sz w:val="24"/>
              </w:rPr>
              <w:t>• 用户反馈收集机制</w:t>
            </w:r>
          </w:p>
          <w:p w14:paraId="4CE5025B">
            <w:pPr>
              <w:spacing w:line="360" w:lineRule="auto"/>
              <w:jc w:val="left"/>
              <w:rPr>
                <w:sz w:val="24"/>
              </w:rPr>
            </w:pPr>
            <w:r>
              <w:rPr>
                <w:sz w:val="24"/>
              </w:rPr>
              <w:t>成果标志：建立有效沟通渠道，关键场景验证通过</w:t>
            </w:r>
          </w:p>
        </w:tc>
        <w:tc>
          <w:tcPr>
            <w:tcW w:w="2517" w:type="dxa"/>
          </w:tcPr>
          <w:p w14:paraId="08982930">
            <w:pPr>
              <w:spacing w:line="360" w:lineRule="auto"/>
              <w:jc w:val="left"/>
              <w:rPr>
                <w:sz w:val="24"/>
              </w:rPr>
            </w:pPr>
            <w:r>
              <w:rPr>
                <w:sz w:val="24"/>
              </w:rPr>
              <w:t>核心任务：创新激励与生态培育</w:t>
            </w:r>
          </w:p>
          <w:p w14:paraId="5070DEE4">
            <w:pPr>
              <w:spacing w:line="360" w:lineRule="auto"/>
              <w:jc w:val="left"/>
              <w:rPr>
                <w:sz w:val="24"/>
              </w:rPr>
            </w:pPr>
            <w:r>
              <w:rPr>
                <w:sz w:val="24"/>
              </w:rPr>
              <w:t>关键交付：</w:t>
            </w:r>
          </w:p>
          <w:p w14:paraId="1523C379">
            <w:pPr>
              <w:spacing w:line="360" w:lineRule="auto"/>
              <w:jc w:val="left"/>
              <w:rPr>
                <w:sz w:val="24"/>
              </w:rPr>
            </w:pPr>
            <w:r>
              <w:rPr>
                <w:sz w:val="24"/>
              </w:rPr>
              <w:t>• 校内智能应用创新活动</w:t>
            </w:r>
          </w:p>
          <w:p w14:paraId="180EA8FD">
            <w:pPr>
              <w:spacing w:line="360" w:lineRule="auto"/>
              <w:jc w:val="left"/>
              <w:rPr>
                <w:sz w:val="24"/>
              </w:rPr>
            </w:pPr>
            <w:r>
              <w:rPr>
                <w:sz w:val="24"/>
              </w:rPr>
              <w:t>• 最佳实践案例库（5+）</w:t>
            </w:r>
          </w:p>
          <w:p w14:paraId="0575B5F3">
            <w:pPr>
              <w:spacing w:line="360" w:lineRule="auto"/>
              <w:jc w:val="left"/>
              <w:rPr>
                <w:sz w:val="24"/>
              </w:rPr>
            </w:pPr>
            <w:r>
              <w:rPr>
                <w:sz w:val="24"/>
              </w:rPr>
              <w:t>• 标杆团队与成果推广</w:t>
            </w:r>
          </w:p>
          <w:p w14:paraId="0FD1DC0F">
            <w:pPr>
              <w:spacing w:line="360" w:lineRule="auto"/>
              <w:jc w:val="left"/>
              <w:rPr>
                <w:sz w:val="24"/>
              </w:rPr>
            </w:pPr>
            <w:r>
              <w:rPr>
                <w:sz w:val="24"/>
              </w:rPr>
              <w:t>成果标志：应用范围扩展，形成自发性创新氛围</w:t>
            </w:r>
          </w:p>
        </w:tc>
        <w:tc>
          <w:tcPr>
            <w:tcW w:w="2638" w:type="dxa"/>
          </w:tcPr>
          <w:p w14:paraId="00F3E872">
            <w:pPr>
              <w:spacing w:line="360" w:lineRule="auto"/>
              <w:jc w:val="left"/>
              <w:rPr>
                <w:sz w:val="24"/>
              </w:rPr>
            </w:pPr>
            <w:r>
              <w:rPr>
                <w:sz w:val="24"/>
              </w:rPr>
              <w:t>核心任务：战略融合与可持续发展</w:t>
            </w:r>
          </w:p>
          <w:p w14:paraId="28290B59">
            <w:pPr>
              <w:spacing w:line="360" w:lineRule="auto"/>
              <w:jc w:val="left"/>
              <w:rPr>
                <w:sz w:val="24"/>
              </w:rPr>
            </w:pPr>
            <w:r>
              <w:rPr>
                <w:sz w:val="24"/>
              </w:rPr>
              <w:t>关键交付：</w:t>
            </w:r>
          </w:p>
          <w:p w14:paraId="49A51612">
            <w:pPr>
              <w:spacing w:line="360" w:lineRule="auto"/>
              <w:jc w:val="left"/>
              <w:rPr>
                <w:sz w:val="24"/>
              </w:rPr>
            </w:pPr>
            <w:r>
              <w:rPr>
                <w:sz w:val="24"/>
              </w:rPr>
              <w:t>• 数字创新生态评估报告</w:t>
            </w:r>
          </w:p>
          <w:p w14:paraId="5D4C937B">
            <w:pPr>
              <w:spacing w:line="360" w:lineRule="auto"/>
              <w:jc w:val="left"/>
              <w:rPr>
                <w:sz w:val="24"/>
              </w:rPr>
            </w:pPr>
            <w:r>
              <w:rPr>
                <w:sz w:val="24"/>
              </w:rPr>
              <w:t>• 平台长期发展规划</w:t>
            </w:r>
          </w:p>
          <w:p w14:paraId="5DC2BD3C">
            <w:pPr>
              <w:spacing w:line="360" w:lineRule="auto"/>
              <w:jc w:val="left"/>
              <w:rPr>
                <w:sz w:val="24"/>
              </w:rPr>
            </w:pPr>
            <w:r>
              <w:rPr>
                <w:sz w:val="24"/>
              </w:rPr>
              <w:t>• 跨部门协作机制</w:t>
            </w:r>
          </w:p>
          <w:p w14:paraId="12E281B0">
            <w:pPr>
              <w:spacing w:line="360" w:lineRule="auto"/>
              <w:jc w:val="left"/>
              <w:rPr>
                <w:sz w:val="24"/>
              </w:rPr>
            </w:pPr>
            <w:r>
              <w:rPr>
                <w:sz w:val="24"/>
              </w:rPr>
              <w:t>成果标志：平台融入学校战略，形成可持续发展生态</w:t>
            </w:r>
          </w:p>
        </w:tc>
      </w:tr>
    </w:tbl>
    <w:p w14:paraId="019E79A0">
      <w:pPr>
        <w:spacing w:line="360" w:lineRule="auto"/>
        <w:ind w:firstLine="480" w:firstLineChars="200"/>
        <w:rPr>
          <w:sz w:val="24"/>
        </w:rPr>
      </w:pPr>
      <w:r>
        <w:rPr>
          <w:sz w:val="24"/>
        </w:rPr>
        <w:t>通过</w:t>
      </w:r>
      <w:r>
        <w:rPr>
          <w:rFonts w:hint="eastAsia"/>
          <w:sz w:val="24"/>
        </w:rPr>
        <w:t>表3所述的四个维度能力建设</w:t>
      </w:r>
      <w:r>
        <w:rPr>
          <w:sz w:val="24"/>
        </w:rPr>
        <w:t>的深度解读，我们不仅理解了招标文件中的功能点清单，更洞察了这些功能背后所承载的业务愿景与转型路径。我们的方案将紧紧围绕这些深度理解展开，确保交付的平台不仅是符合要求的技术系统，更是能够驱动学校数字化转型的核心引擎</w:t>
      </w:r>
      <w:r>
        <w:rPr>
          <w:rFonts w:hint="eastAsia"/>
          <w:sz w:val="24"/>
        </w:rPr>
        <w:t>。</w:t>
      </w:r>
    </w:p>
    <w:p w14:paraId="37ACAFF0">
      <w:pPr>
        <w:numPr>
          <w:ilvl w:val="1"/>
          <w:numId w:val="1"/>
        </w:numPr>
        <w:spacing w:line="360" w:lineRule="auto"/>
        <w:outlineLvl w:val="1"/>
        <w:rPr>
          <w:b/>
          <w:bCs/>
          <w:sz w:val="30"/>
          <w:szCs w:val="30"/>
        </w:rPr>
      </w:pPr>
      <w:bookmarkStart w:id="13" w:name="_Toc221113238"/>
      <w:r>
        <w:rPr>
          <w:b/>
          <w:bCs/>
          <w:sz w:val="30"/>
          <w:szCs w:val="30"/>
        </w:rPr>
        <w:t>项目实施与服务保障体系专项理解</w:t>
      </w:r>
      <w:bookmarkEnd w:id="13"/>
    </w:p>
    <w:p w14:paraId="76E66898">
      <w:pPr>
        <w:spacing w:line="360" w:lineRule="auto"/>
        <w:rPr>
          <w:sz w:val="24"/>
        </w:rPr>
      </w:pPr>
    </w:p>
    <w:p w14:paraId="004795CB">
      <w:pPr>
        <w:spacing w:line="360" w:lineRule="auto"/>
        <w:ind w:firstLine="420" w:firstLineChars="200"/>
        <w:rPr>
          <w:sz w:val="24"/>
        </w:rPr>
      </w:pPr>
      <w:r>
        <w:drawing>
          <wp:anchor distT="0" distB="0" distL="114300" distR="114300" simplePos="0" relativeHeight="251662336" behindDoc="0" locked="0" layoutInCell="1" allowOverlap="1">
            <wp:simplePos x="0" y="0"/>
            <wp:positionH relativeFrom="column">
              <wp:posOffset>-327025</wp:posOffset>
            </wp:positionH>
            <wp:positionV relativeFrom="paragraph">
              <wp:posOffset>1366520</wp:posOffset>
            </wp:positionV>
            <wp:extent cx="5798185" cy="2112645"/>
            <wp:effectExtent l="114300" t="114300" r="145415" b="154305"/>
            <wp:wrapSquare wrapText="bothSides"/>
            <wp:docPr id="5757127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712790" name="图片 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98185" cy="2112645"/>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sz w:val="24"/>
        </w:rPr>
        <w:t>对招标文件第四章“项目实施服务要求”与商务要求的深度分析，使我们认识到，本项目的成功不仅取决于技术平台的先进性，更在于一套与平台深度耦合、贯穿项目全生命周期的实施、交付与保障体系。这套体系</w:t>
      </w:r>
      <w:r>
        <w:rPr>
          <w:rFonts w:hint="eastAsia"/>
          <w:sz w:val="24"/>
        </w:rPr>
        <w:t>（如图8所示）</w:t>
      </w:r>
      <w:r>
        <w:rPr>
          <w:sz w:val="24"/>
        </w:rPr>
        <w:t>是确保平台价值从蓝图变为现实、并最终内化为学校核心数字能力的根本保证。</w:t>
      </w:r>
    </w:p>
    <w:p w14:paraId="554A48EA">
      <w:pPr>
        <w:spacing w:line="360" w:lineRule="auto"/>
        <w:jc w:val="center"/>
        <w:rPr>
          <w:b/>
          <w:bCs/>
        </w:rPr>
      </w:pPr>
      <w:r>
        <w:rPr>
          <w:rFonts w:hint="eastAsia"/>
          <w:b/>
          <w:bCs/>
        </w:rPr>
        <w:t>图8 项</w:t>
      </w:r>
      <w:r>
        <w:rPr>
          <w:b/>
          <w:bCs/>
        </w:rPr>
        <w:t>目实施与服务保障体系</w:t>
      </w:r>
    </w:p>
    <w:p w14:paraId="1DDC0D62">
      <w:pPr>
        <w:spacing w:line="360" w:lineRule="auto"/>
        <w:jc w:val="center"/>
        <w:rPr>
          <w:b/>
          <w:bCs/>
        </w:rPr>
      </w:pPr>
    </w:p>
    <w:p w14:paraId="1DFA1855">
      <w:pPr>
        <w:numPr>
          <w:ilvl w:val="2"/>
          <w:numId w:val="1"/>
        </w:numPr>
        <w:spacing w:line="360" w:lineRule="auto"/>
        <w:outlineLvl w:val="2"/>
        <w:rPr>
          <w:b/>
          <w:bCs/>
          <w:sz w:val="28"/>
          <w:szCs w:val="28"/>
        </w:rPr>
      </w:pPr>
      <w:bookmarkStart w:id="14" w:name="_Toc221113239"/>
      <w:r>
        <w:rPr>
          <w:b/>
          <w:bCs/>
          <w:sz w:val="28"/>
          <w:szCs w:val="28"/>
        </w:rPr>
        <w:t>从数据注入到生态融合的闭环</w:t>
      </w:r>
      <w:bookmarkEnd w:id="14"/>
    </w:p>
    <w:p w14:paraId="1E844368">
      <w:pPr>
        <w:spacing w:line="360" w:lineRule="auto"/>
        <w:rPr>
          <w:sz w:val="24"/>
        </w:rPr>
      </w:pPr>
    </w:p>
    <w:p w14:paraId="531AAE0B">
      <w:pPr>
        <w:spacing w:line="360" w:lineRule="auto"/>
        <w:ind w:firstLine="480" w:firstLineChars="200"/>
        <w:rPr>
          <w:sz w:val="24"/>
        </w:rPr>
      </w:pPr>
      <w:r>
        <w:rPr>
          <w:rFonts w:hint="eastAsia"/>
          <w:sz w:val="24"/>
        </w:rPr>
        <w:t>在深入剖析招标文件关于产业人才数据服务、“AI问数”应用开发及智慧校园对接等三大项目实施服务要求后，我们认识到这三者并非孤立的任务清单，而是构成了一个从外部数据驱动、到内部场景验证、再到全域体验集成的价值闭环。这一闭环设计旨在确保平台的建设不仅停留在技术实现层面，更能与学校的实际业务脉搏同频共振，实现数据智能的持续注入与业务价值的即时转化。首先，产业人才需求数据服务被明确要求持续三年并按季度更新，这深刻揭示了平台需具备“动态感知产业脉搏”的能力。我们理解，此项服务的战略意义在于为平台注入持续、鲜活、且与区域经济紧密关联的“数据活水”。静态的产业数据图谱无法支撑职业院校动态的专业优化与人才培养评价。因此，我们的服务将构建一条从多源招聘站点、产业报告等渠道进行智能采集，经由“AI清洗与归并+领域专家校验”的标准化处理流水线，最终产出结构化的“产业-岗位-技能-素养”多维图谱，并通过API无缝汇入平台数据湖。这一过程实质上是将平台从一个内部管理与分析工具，升级为能够实时对接区域产业发展需求、为专业设置调整、课程内容改革及人才培养方案迭代提供量化依据的产教融合智能枢纽。连续三年的季度更新承诺，正是为了匹配职业教育人才培养的周期性与产业变化的时效性，确保数据智能的供给不是一次性的，而是与学校人才培养过程持续伴跑、协同演进的生命线。</w:t>
      </w:r>
    </w:p>
    <w:p w14:paraId="4193BDDA">
      <w:pPr>
        <w:spacing w:line="360" w:lineRule="auto"/>
        <w:ind w:firstLine="480" w:firstLineChars="200"/>
        <w:jc w:val="center"/>
        <w:rPr>
          <w:b/>
          <w:bCs/>
        </w:rPr>
      </w:pPr>
      <w:r>
        <w:rPr>
          <w:sz w:val="24"/>
        </w:rPr>
        <w:drawing>
          <wp:anchor distT="0" distB="0" distL="114300" distR="114300" simplePos="0" relativeHeight="251663360" behindDoc="0" locked="0" layoutInCell="1" allowOverlap="1">
            <wp:simplePos x="0" y="0"/>
            <wp:positionH relativeFrom="column">
              <wp:posOffset>-213995</wp:posOffset>
            </wp:positionH>
            <wp:positionV relativeFrom="paragraph">
              <wp:posOffset>200660</wp:posOffset>
            </wp:positionV>
            <wp:extent cx="5636260" cy="5335905"/>
            <wp:effectExtent l="0" t="0" r="2540" b="0"/>
            <wp:wrapSquare wrapText="bothSides"/>
            <wp:docPr id="8" name="图片 8" descr="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3.1"/>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636260" cy="5335905"/>
                    </a:xfrm>
                    <a:prstGeom prst="rect">
                      <a:avLst/>
                    </a:prstGeom>
                  </pic:spPr>
                </pic:pic>
              </a:graphicData>
            </a:graphic>
          </wp:anchor>
        </w:drawing>
      </w:r>
      <w:r>
        <w:rPr>
          <w:rFonts w:hint="eastAsia"/>
          <w:b/>
          <w:bCs/>
        </w:rPr>
        <w:t>图9 产业人才数据服务流程图</w:t>
      </w:r>
    </w:p>
    <w:p w14:paraId="5BE73693">
      <w:pPr>
        <w:spacing w:line="360" w:lineRule="auto"/>
        <w:ind w:firstLine="480" w:firstLineChars="200"/>
        <w:rPr>
          <w:sz w:val="24"/>
        </w:rPr>
      </w:pPr>
    </w:p>
    <w:p w14:paraId="50259233">
      <w:pPr>
        <w:spacing w:line="360" w:lineRule="auto"/>
        <w:ind w:firstLine="480" w:firstLineChars="200"/>
        <w:rPr>
          <w:sz w:val="24"/>
        </w:rPr>
      </w:pPr>
      <w:r>
        <w:rPr>
          <w:rFonts w:hint="eastAsia"/>
          <w:sz w:val="24"/>
        </w:rPr>
        <w:t>其次，“AI问数”标准应用开发服务的战略定位，远超一个智能问答工具的交付。它是平台核心能力的“试金石”与“示范田”，旨在通过一个高感知、高价值的业务场景，快速验证平台数据治理、AI引擎与低代码开发能力的有效性，并直观展示数据智能如何赋能日常管理决策。技术上，其关键在于利用平台的低代码工作流引擎，将大语言模型的自然语言理解能力、学校治理后的主题数据模型（如学生画像、专业画像）以及产业人才能力图谱进行深度语义融合与逻辑编排。例如，当管理者提出“对比分析近两年智能制造专业与物联网专业毕业生在本地区新能源产业链相关岗位的平均起薪、核心技能匹配度及晋升路径差异”这类复杂业务问题时，系统能自动解析查询意图、智能关联跨域数据、调用相应的分析模型与算法，并生成融合数据、图表与文本解读的综合性洞察报告。此举旨在彻底变革传统依赖技术部门定制报表的数据消费模式，让“数据驱动决策”成为一线管理人员和业务教师触手可及的日常工作方式。同时，“AI问数”应用的成功落地与使用，将作为一个强大的“样板工程”，极大地激发校内各业务部门基于平台进行场景化创新的信心与灵感，形成“示范一个，带动一片”的扩散效应。</w:t>
      </w:r>
    </w:p>
    <w:p w14:paraId="4C667E7A">
      <w:pPr>
        <w:spacing w:line="360" w:lineRule="auto"/>
        <w:ind w:firstLine="480" w:firstLineChars="200"/>
        <w:rPr>
          <w:sz w:val="24"/>
        </w:rPr>
      </w:pPr>
    </w:p>
    <w:p w14:paraId="130EE0E5">
      <w:pPr>
        <w:spacing w:line="360" w:lineRule="auto"/>
        <w:ind w:firstLine="480" w:firstLineChars="200"/>
        <w:rPr>
          <w:sz w:val="24"/>
        </w:rPr>
      </w:pPr>
      <w:r>
        <w:rPr>
          <w:rFonts w:hint="eastAsia"/>
          <w:sz w:val="24"/>
        </w:rPr>
        <w:t>最后，智慧校园对接服务中“建设统一入口，实现无缝对接与身份核验”的要求，直指平台能否真正“用起来、好用”的体验核心与治理基础。技术实现上，我们将基于OAuth 2.0/OpenID Connect等标准协议，与学校统一身份认证中心进行深度对接，实现跨平台单点登录（SSO），确保师生一处登录，全网通行。更为关键的是，通过角色与权限的精细映射，确保用户在平台内访问应用、功能和数据的权限，与其在智慧校园整体架构中的组织身份和业务角色完全一致，实现权责清晰的访问控制。这不仅是增加一个访问链接，而是通过深度的技术集成与权限治理，使AI应用如同水电般自然融入师生的数字化工作流与学习流，彻底消除使用门槛，为平台的广泛采纳、深度应用与可持续运营奠定坚实的基础。这一集成确保了平台不是又一个信息孤岛，而是真正融入智慧校园生态的“AI能力中台”，赋能全局。</w:t>
      </w:r>
    </w:p>
    <w:p w14:paraId="3CD66B1D">
      <w:pPr>
        <w:spacing w:line="360" w:lineRule="auto"/>
        <w:ind w:firstLine="480" w:firstLineChars="200"/>
        <w:rPr>
          <w:sz w:val="24"/>
        </w:rPr>
      </w:pPr>
    </w:p>
    <w:p w14:paraId="08D7FAAD">
      <w:pPr>
        <w:spacing w:line="360" w:lineRule="auto"/>
        <w:ind w:firstLine="480" w:firstLineChars="200"/>
        <w:rPr>
          <w:sz w:val="24"/>
        </w:rPr>
      </w:pPr>
      <w:r>
        <w:rPr>
          <w:rFonts w:hint="eastAsia"/>
          <w:sz w:val="24"/>
        </w:rPr>
        <w:t>综上所述，从产业数据注入、到智能应用验证、再到生态融合集成的闭环，体现了项目实施服务从“交付功能”到“交付价值”、从“建设系统”到“建设能力”的深刻转变。我们的方案将确保这一闭环的每一环节都坚实可靠、协同增效，共同支撑平台从蓝图变为学校数字化转型中不可或缺的智能中枢。</w:t>
      </w:r>
    </w:p>
    <w:p w14:paraId="60B868BB">
      <w:pPr>
        <w:spacing w:line="360" w:lineRule="auto"/>
        <w:rPr>
          <w:sz w:val="24"/>
        </w:rPr>
      </w:pPr>
    </w:p>
    <w:p w14:paraId="1D96BC61">
      <w:pPr>
        <w:numPr>
          <w:ilvl w:val="2"/>
          <w:numId w:val="1"/>
        </w:numPr>
        <w:spacing w:line="360" w:lineRule="auto"/>
        <w:outlineLvl w:val="2"/>
        <w:rPr>
          <w:b/>
          <w:bCs/>
          <w:sz w:val="28"/>
          <w:szCs w:val="28"/>
        </w:rPr>
      </w:pPr>
      <w:bookmarkStart w:id="15" w:name="_Toc221113240"/>
      <w:r>
        <w:rPr>
          <w:b/>
          <w:bCs/>
          <w:sz w:val="28"/>
          <w:szCs w:val="28"/>
        </w:rPr>
        <w:t>构建主动化、制度化的长效保障</w:t>
      </w:r>
      <w:bookmarkEnd w:id="15"/>
    </w:p>
    <w:p w14:paraId="3AC5A50A">
      <w:pPr>
        <w:spacing w:line="360" w:lineRule="auto"/>
        <w:rPr>
          <w:sz w:val="24"/>
        </w:rPr>
      </w:pPr>
    </w:p>
    <w:p w14:paraId="4B593544">
      <w:pPr>
        <w:spacing w:line="360" w:lineRule="auto"/>
        <w:ind w:firstLine="480" w:firstLineChars="200"/>
        <w:rPr>
          <w:sz w:val="24"/>
        </w:rPr>
      </w:pPr>
      <w:r>
        <w:rPr>
          <w:sz w:val="24"/>
        </w:rPr>
        <w:t>招标文件对三年免费质保、7*24小时响应、每半年定期检查的严格要求，揭示了采购人对系统长期稳健运行与业务连续性的极致关注。我们的理解是，现代数字化系统的运维已从“被动救火”转向“主动防御、智能预警、制度保障”的立体化模式。</w:t>
      </w:r>
    </w:p>
    <w:p w14:paraId="385D5A3B">
      <w:pPr>
        <w:spacing w:line="360" w:lineRule="auto"/>
        <w:ind w:firstLine="480" w:firstLineChars="200"/>
        <w:rPr>
          <w:sz w:val="24"/>
        </w:rPr>
      </w:pPr>
    </w:p>
    <w:p w14:paraId="705B4BD1">
      <w:pPr>
        <w:spacing w:line="360" w:lineRule="auto"/>
        <w:ind w:firstLine="480" w:firstLineChars="200"/>
        <w:rPr>
          <w:sz w:val="24"/>
        </w:rPr>
      </w:pPr>
      <w:r>
        <w:rPr>
          <w:sz w:val="24"/>
        </w:rPr>
        <w:t>为此，我们承诺的运维体系将以前置化、指标化的方式进行构建。平台内置的综合监控中心将实时采集应用性能、数据管道健康度、API成功率及资源利用率等数百项指标，并基于预设阈值实现智能预警，力求在潜在问题影响业务前完成干预。同时，我们将建立基于严格SLA（服务等级协议）的7*24小时分级响应机制，配备本地化服务团队与远程专家中心，确保任何故障都能在规定时限内得到有效处置。</w:t>
      </w:r>
    </w:p>
    <w:p w14:paraId="79788E94">
      <w:pPr>
        <w:spacing w:line="360" w:lineRule="auto"/>
        <w:ind w:firstLine="480" w:firstLineChars="200"/>
        <w:rPr>
          <w:sz w:val="24"/>
        </w:rPr>
      </w:pPr>
    </w:p>
    <w:p w14:paraId="2102B522">
      <w:pPr>
        <w:spacing w:line="360" w:lineRule="auto"/>
        <w:ind w:firstLine="480" w:firstLineChars="200"/>
        <w:rPr>
          <w:sz w:val="24"/>
        </w:rPr>
      </w:pPr>
      <w:r>
        <w:rPr>
          <w:sz w:val="24"/>
        </w:rPr>
        <w:t>我们特别重视“每半年一次的系统检查”，这并非简单的设备巡检，而是一场预设的深度健康诊断与价值复盘会。我们将与校方共同检查系统日志、性能趋势、安全状况及知识库更新效果，并回顾半年来各业务部门对平台的使用情况与反馈。这使我们的服务能够伴随学校业务发展而协同演进，确保平台在三年服务期内始终保持最佳状态，成为学校真正可信赖的数字化基石。</w:t>
      </w:r>
    </w:p>
    <w:p w14:paraId="7FEBAC72">
      <w:pPr>
        <w:spacing w:line="360" w:lineRule="auto"/>
        <w:rPr>
          <w:sz w:val="24"/>
        </w:rPr>
      </w:pPr>
    </w:p>
    <w:p w14:paraId="0F437C1E">
      <w:pPr>
        <w:spacing w:line="360" w:lineRule="auto"/>
        <w:jc w:val="center"/>
        <w:rPr>
          <w:sz w:val="24"/>
        </w:rPr>
      </w:pPr>
      <w:r>
        <w:rPr>
          <w:sz w:val="24"/>
        </w:rPr>
        <w:drawing>
          <wp:inline distT="0" distB="0" distL="114300" distR="114300">
            <wp:extent cx="4312285" cy="4312285"/>
            <wp:effectExtent l="0" t="0" r="0" b="0"/>
            <wp:docPr id="9" name="图片 9" descr="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3.2"/>
                    <pic:cNvPicPr>
                      <a:picLocks noChangeAspect="1"/>
                    </pic:cNvPicPr>
                  </pic:nvPicPr>
                  <pic:blipFill>
                    <a:blip r:embed="rId14"/>
                    <a:stretch>
                      <a:fillRect/>
                    </a:stretch>
                  </pic:blipFill>
                  <pic:spPr>
                    <a:xfrm>
                      <a:off x="0" y="0"/>
                      <a:ext cx="4319884" cy="4319884"/>
                    </a:xfrm>
                    <a:prstGeom prst="rect">
                      <a:avLst/>
                    </a:prstGeom>
                  </pic:spPr>
                </pic:pic>
              </a:graphicData>
            </a:graphic>
          </wp:inline>
        </w:drawing>
      </w:r>
    </w:p>
    <w:p w14:paraId="2AFD3130">
      <w:pPr>
        <w:pStyle w:val="2"/>
        <w:spacing w:line="360" w:lineRule="auto"/>
        <w:jc w:val="center"/>
        <w:rPr>
          <w:rFonts w:asciiTheme="minorHAnsi" w:hAnsiTheme="minorHAnsi" w:eastAsiaTheme="minorEastAsia"/>
          <w:b/>
          <w:bCs/>
          <w:sz w:val="21"/>
        </w:rPr>
      </w:pPr>
      <w:r>
        <w:rPr>
          <w:rFonts w:hint="eastAsia" w:asciiTheme="minorHAnsi" w:hAnsiTheme="minorHAnsi" w:eastAsiaTheme="minorEastAsia"/>
          <w:b/>
          <w:bCs/>
          <w:sz w:val="21"/>
        </w:rPr>
        <w:t>图10 平台健康度综合监控指标</w:t>
      </w:r>
    </w:p>
    <w:p w14:paraId="4E54D14F">
      <w:pPr>
        <w:spacing w:line="360" w:lineRule="auto"/>
        <w:jc w:val="center"/>
        <w:rPr>
          <w:sz w:val="24"/>
        </w:rPr>
      </w:pPr>
    </w:p>
    <w:p w14:paraId="26EE997E">
      <w:pPr>
        <w:numPr>
          <w:ilvl w:val="2"/>
          <w:numId w:val="1"/>
        </w:numPr>
        <w:spacing w:line="360" w:lineRule="auto"/>
        <w:outlineLvl w:val="2"/>
        <w:rPr>
          <w:b/>
          <w:bCs/>
          <w:sz w:val="28"/>
          <w:szCs w:val="28"/>
        </w:rPr>
      </w:pPr>
      <w:bookmarkStart w:id="16" w:name="_Toc221113241"/>
      <w:r>
        <w:rPr>
          <w:b/>
          <w:bCs/>
          <w:sz w:val="28"/>
          <w:szCs w:val="28"/>
        </w:rPr>
        <w:t>实现从“交付”到“赋能”的根本转型</w:t>
      </w:r>
      <w:bookmarkEnd w:id="16"/>
    </w:p>
    <w:p w14:paraId="2A834FCA">
      <w:pPr>
        <w:spacing w:line="360" w:lineRule="auto"/>
        <w:rPr>
          <w:sz w:val="24"/>
        </w:rPr>
      </w:pPr>
    </w:p>
    <w:p w14:paraId="0A98CA22">
      <w:pPr>
        <w:spacing w:line="360" w:lineRule="auto"/>
        <w:ind w:firstLine="480" w:firstLineChars="200"/>
        <w:rPr>
          <w:sz w:val="24"/>
        </w:rPr>
      </w:pPr>
      <w:r>
        <w:rPr>
          <w:rFonts w:hint="eastAsia"/>
          <w:sz w:val="24"/>
        </w:rPr>
        <w:t>在深入理解项目核心目标与招标文件深层意图的基础上，我们尤为重视“实现从‘交付’到‘赋能’的根本转型”这一关键任务。这不仅是一项服务内容，更是贯穿项目始终的战略导向与价值承诺。我们深刻认识到，项目的最终成功标志并非仅在于平台本身的部署上线，而在于学校是否能够真正“接管”这一智能中枢，使其从外部交付的系统，内化为学校自主掌控、持续演进、并不断激发内部创新的核心数字能力。因此，我们的服务将超越传统意义上的系统交接与操作培训，致力于构建一个“陪伴式成长、协同式创新、生态化培育”的深度赋能体系。</w:t>
      </w:r>
    </w:p>
    <w:p w14:paraId="228F3459">
      <w:pPr>
        <w:spacing w:line="360" w:lineRule="auto"/>
        <w:ind w:firstLine="480" w:firstLineChars="200"/>
        <w:rPr>
          <w:sz w:val="24"/>
        </w:rPr>
      </w:pPr>
    </w:p>
    <w:p w14:paraId="6AD8046F">
      <w:pPr>
        <w:spacing w:line="360" w:lineRule="auto"/>
        <w:ind w:firstLine="480" w:firstLineChars="200"/>
        <w:rPr>
          <w:sz w:val="24"/>
        </w:rPr>
      </w:pPr>
      <w:r>
        <w:rPr>
          <w:rFonts w:hint="eastAsia"/>
          <w:sz w:val="24"/>
        </w:rPr>
        <w:t>这一转型的实现，依赖于我们对知识转移本质的重新定义。我们将知识转移视为一个渐进、深化、且与业务场景紧密耦合的长期过程。初期，我们将通过结构化、分角色的培训，确保系统管理员能够深入理解平台架构、掌握日常运维与监控技能，为平台的稳定运行筑牢地基；同时，引导业务骨干熟悉“AI问数”等核心工具的操作逻辑与数据关联，使其能够立即利用平台能力提升工作效率，快速获得价值感知。但这仅仅是赋能的起点。随着平台使用的深入，我们将进一步通过系列“工作坊”与“实战营”，围绕学校真实存在的业务挑战——例如“如何构建跨院系的实训资源智能调度模型”或“如何动态评估专业设置与区域产业需求的匹配度”——引导业务团队利用低代码开发环境，亲手将想法转化为可运行的应用原型。在此过程中，我们的角色将从“讲师”转变为“教练”与“协作者”，与学校团队共同探索、调试、优化，将平台的技术能力与学校的领域知识、业务洞察进行创造性融合。</w:t>
      </w:r>
    </w:p>
    <w:p w14:paraId="7C2F08D0">
      <w:pPr>
        <w:spacing w:line="360" w:lineRule="auto"/>
        <w:ind w:firstLine="480" w:firstLineChars="200"/>
        <w:rPr>
          <w:sz w:val="24"/>
        </w:rPr>
      </w:pPr>
    </w:p>
    <w:p w14:paraId="33720262">
      <w:pPr>
        <w:spacing w:line="360" w:lineRule="auto"/>
        <w:ind w:firstLine="480" w:firstLineChars="200"/>
        <w:rPr>
          <w:sz w:val="24"/>
        </w:rPr>
      </w:pPr>
      <w:r>
        <w:rPr>
          <w:rFonts w:hint="eastAsia"/>
          <w:sz w:val="24"/>
        </w:rPr>
        <w:t>更重要的是，我们将协助学校建立一套促进内部创新与知识沉淀的良性机制。通过共同建设“校内AI应用创新案例库”，鼓励各部门分享基于平台开发的智能工具与实践心得；通过设立轻量级的“创新孵化通道”，为有价值的应用创意提供快速验证与迭代支持；通过培育一批能够独立开发、乐于分享的“校园AI开发先锋”，形成示范效应，点燃更广泛的创新热情。我们交付的将不仅是一个可运行的软件平台，更包括一整套经过验证的方法论、可复用的组件模板、持续更新的学习资源以及一个活跃的在线协作社区，共同构成学校可持续进行AI应用创新的“赋能工具箱”</w:t>
      </w:r>
      <w:r>
        <w:rPr>
          <w:sz w:val="24"/>
        </w:rPr>
        <w:t>。</w:t>
      </w:r>
    </w:p>
    <w:p w14:paraId="7599C962">
      <w:pPr>
        <w:spacing w:line="360" w:lineRule="auto"/>
        <w:ind w:firstLine="480" w:firstLineChars="200"/>
        <w:rPr>
          <w:sz w:val="24"/>
        </w:rPr>
      </w:pPr>
    </w:p>
    <w:p w14:paraId="65248258">
      <w:pPr>
        <w:spacing w:line="360" w:lineRule="auto"/>
        <w:ind w:firstLine="480" w:firstLineChars="200"/>
        <w:rPr>
          <w:sz w:val="24"/>
        </w:rPr>
      </w:pPr>
    </w:p>
    <w:p w14:paraId="2F612DEE">
      <w:pPr>
        <w:spacing w:line="360" w:lineRule="auto"/>
        <w:ind w:firstLine="480" w:firstLineChars="200"/>
        <w:rPr>
          <w:sz w:val="24"/>
        </w:rPr>
      </w:pPr>
    </w:p>
    <w:p w14:paraId="30B3A8BA">
      <w:pPr>
        <w:spacing w:line="360" w:lineRule="auto"/>
        <w:ind w:firstLine="480" w:firstLineChars="200"/>
        <w:rPr>
          <w:sz w:val="24"/>
        </w:rPr>
      </w:pPr>
    </w:p>
    <w:p w14:paraId="3C384D88">
      <w:pPr>
        <w:spacing w:line="360" w:lineRule="auto"/>
        <w:ind w:firstLine="480" w:firstLineChars="200"/>
        <w:rPr>
          <w:sz w:val="24"/>
        </w:rPr>
      </w:pPr>
    </w:p>
    <w:p w14:paraId="32625644">
      <w:pPr>
        <w:spacing w:line="360" w:lineRule="auto"/>
        <w:ind w:firstLine="480" w:firstLineChars="200"/>
        <w:rPr>
          <w:sz w:val="24"/>
        </w:rPr>
      </w:pPr>
    </w:p>
    <w:p w14:paraId="2D8AF261">
      <w:pPr>
        <w:spacing w:line="360" w:lineRule="auto"/>
        <w:ind w:firstLine="480" w:firstLineChars="200"/>
        <w:rPr>
          <w:sz w:val="24"/>
        </w:rPr>
      </w:pPr>
    </w:p>
    <w:p w14:paraId="69D8910A">
      <w:pPr>
        <w:spacing w:line="360" w:lineRule="auto"/>
        <w:ind w:firstLine="480" w:firstLineChars="200"/>
        <w:rPr>
          <w:sz w:val="24"/>
        </w:rPr>
      </w:pPr>
    </w:p>
    <w:p w14:paraId="41C1122B">
      <w:pPr>
        <w:spacing w:line="360" w:lineRule="auto"/>
        <w:ind w:firstLine="480" w:firstLineChars="200"/>
        <w:rPr>
          <w:sz w:val="24"/>
        </w:rPr>
      </w:pPr>
    </w:p>
    <w:p w14:paraId="64A2DE60">
      <w:pPr>
        <w:spacing w:line="360" w:lineRule="auto"/>
        <w:ind w:firstLine="480" w:firstLineChars="200"/>
        <w:rPr>
          <w:sz w:val="24"/>
        </w:rPr>
      </w:pPr>
    </w:p>
    <w:p w14:paraId="37D235F4">
      <w:pPr>
        <w:pStyle w:val="2"/>
        <w:spacing w:line="360" w:lineRule="auto"/>
        <w:jc w:val="center"/>
        <w:rPr>
          <w:rFonts w:asciiTheme="minorHAnsi" w:hAnsiTheme="minorHAnsi" w:eastAsiaTheme="minorEastAsia"/>
          <w:b/>
          <w:bCs/>
          <w:sz w:val="21"/>
        </w:rPr>
      </w:pPr>
      <w:r>
        <w:rPr>
          <w:rFonts w:hint="eastAsia" w:asciiTheme="minorHAnsi" w:hAnsiTheme="minorHAnsi" w:eastAsiaTheme="minorEastAsia"/>
          <w:b/>
          <w:bCs/>
          <w:sz w:val="21"/>
        </w:rPr>
        <w:t>表4 平台赋能培训体系：目标、内容与对象对应表</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6"/>
        <w:gridCol w:w="2814"/>
        <w:gridCol w:w="4002"/>
      </w:tblGrid>
      <w:tr w14:paraId="61A86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6" w:type="dxa"/>
          </w:tcPr>
          <w:p w14:paraId="166CAF01">
            <w:pPr>
              <w:spacing w:line="360" w:lineRule="auto"/>
              <w:jc w:val="center"/>
              <w:rPr>
                <w:b/>
                <w:bCs/>
                <w:sz w:val="24"/>
              </w:rPr>
            </w:pPr>
            <w:r>
              <w:rPr>
                <w:b/>
                <w:bCs/>
                <w:sz w:val="24"/>
              </w:rPr>
              <w:t>培训对象</w:t>
            </w:r>
          </w:p>
        </w:tc>
        <w:tc>
          <w:tcPr>
            <w:tcW w:w="2814" w:type="dxa"/>
          </w:tcPr>
          <w:p w14:paraId="62827946">
            <w:pPr>
              <w:spacing w:line="360" w:lineRule="auto"/>
              <w:jc w:val="center"/>
              <w:rPr>
                <w:b/>
                <w:bCs/>
                <w:sz w:val="24"/>
              </w:rPr>
            </w:pPr>
            <w:r>
              <w:rPr>
                <w:b/>
                <w:bCs/>
                <w:sz w:val="24"/>
              </w:rPr>
              <w:t>核心培训目标</w:t>
            </w:r>
          </w:p>
        </w:tc>
        <w:tc>
          <w:tcPr>
            <w:tcW w:w="4002" w:type="dxa"/>
          </w:tcPr>
          <w:p w14:paraId="4273704F">
            <w:pPr>
              <w:spacing w:line="360" w:lineRule="auto"/>
              <w:jc w:val="center"/>
              <w:rPr>
                <w:b/>
                <w:bCs/>
                <w:sz w:val="24"/>
              </w:rPr>
            </w:pPr>
            <w:r>
              <w:rPr>
                <w:b/>
                <w:bCs/>
                <w:sz w:val="24"/>
              </w:rPr>
              <w:t>核心培训内容</w:t>
            </w:r>
          </w:p>
        </w:tc>
      </w:tr>
      <w:tr w14:paraId="421085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3" w:hRule="atLeast"/>
        </w:trPr>
        <w:tc>
          <w:tcPr>
            <w:tcW w:w="1706" w:type="dxa"/>
          </w:tcPr>
          <w:p w14:paraId="14725576">
            <w:pPr>
              <w:spacing w:line="360" w:lineRule="auto"/>
              <w:jc w:val="center"/>
              <w:rPr>
                <w:b/>
                <w:bCs/>
                <w:sz w:val="24"/>
              </w:rPr>
            </w:pPr>
            <w:r>
              <w:rPr>
                <w:b/>
                <w:bCs/>
                <w:sz w:val="24"/>
              </w:rPr>
              <w:t>系统管理员</w:t>
            </w:r>
          </w:p>
          <w:p w14:paraId="0145527C">
            <w:pPr>
              <w:spacing w:line="360" w:lineRule="auto"/>
              <w:jc w:val="center"/>
              <w:rPr>
                <w:b/>
                <w:bCs/>
                <w:sz w:val="24"/>
              </w:rPr>
            </w:pPr>
            <w:r>
              <w:rPr>
                <w:b/>
                <w:bCs/>
                <w:sz w:val="24"/>
              </w:rPr>
              <w:t>(信息中心)</w:t>
            </w:r>
          </w:p>
        </w:tc>
        <w:tc>
          <w:tcPr>
            <w:tcW w:w="2814" w:type="dxa"/>
          </w:tcPr>
          <w:p w14:paraId="5B79FE84">
            <w:pPr>
              <w:spacing w:line="360" w:lineRule="auto"/>
              <w:jc w:val="left"/>
              <w:rPr>
                <w:sz w:val="24"/>
              </w:rPr>
            </w:pPr>
            <w:r>
              <w:rPr>
                <w:sz w:val="24"/>
              </w:rPr>
              <w:t>1. 保障平台长期稳定运行（对标三年质保）</w:t>
            </w:r>
          </w:p>
          <w:p w14:paraId="7225F2E1">
            <w:pPr>
              <w:spacing w:line="360" w:lineRule="auto"/>
              <w:jc w:val="left"/>
              <w:rPr>
                <w:sz w:val="24"/>
              </w:rPr>
            </w:pPr>
            <w:r>
              <w:rPr>
                <w:sz w:val="24"/>
              </w:rPr>
              <w:t>2. 能完成日常监控、用户管理与基础配置</w:t>
            </w:r>
          </w:p>
          <w:p w14:paraId="34E3A0BE">
            <w:pPr>
              <w:spacing w:line="360" w:lineRule="auto"/>
              <w:jc w:val="left"/>
              <w:rPr>
                <w:sz w:val="24"/>
              </w:rPr>
            </w:pPr>
            <w:r>
              <w:rPr>
                <w:sz w:val="24"/>
              </w:rPr>
              <w:t>3. 能配合进行智慧校园对接后的权限维护</w:t>
            </w:r>
          </w:p>
        </w:tc>
        <w:tc>
          <w:tcPr>
            <w:tcW w:w="4002" w:type="dxa"/>
          </w:tcPr>
          <w:p w14:paraId="1B9A6E5F">
            <w:pPr>
              <w:spacing w:line="360" w:lineRule="auto"/>
              <w:jc w:val="left"/>
              <w:rPr>
                <w:sz w:val="24"/>
              </w:rPr>
            </w:pPr>
            <w:r>
              <w:rPr>
                <w:sz w:val="24"/>
              </w:rPr>
              <w:t>1. 平台运维基础：系统监控、日志查看、备份恢复（支撑7*24小时运维）</w:t>
            </w:r>
          </w:p>
          <w:p w14:paraId="0E88E1B8">
            <w:pPr>
              <w:spacing w:line="360" w:lineRule="auto"/>
              <w:jc w:val="left"/>
              <w:rPr>
                <w:sz w:val="24"/>
              </w:rPr>
            </w:pPr>
            <w:r>
              <w:rPr>
                <w:sz w:val="24"/>
              </w:rPr>
              <w:t>2. 核心模块管理：数据源接入配置、模型管理（DeepSeek/Qwen等）、算力资源查看</w:t>
            </w:r>
          </w:p>
          <w:p w14:paraId="344813F4">
            <w:pPr>
              <w:spacing w:line="360" w:lineRule="auto"/>
              <w:jc w:val="left"/>
              <w:rPr>
                <w:sz w:val="24"/>
              </w:rPr>
            </w:pPr>
            <w:r>
              <w:rPr>
                <w:sz w:val="24"/>
              </w:rPr>
              <w:t>3. 用户与权限实战：基于智慧校园对接的统一身份，进行角色划分与应用权限配置</w:t>
            </w:r>
          </w:p>
          <w:p w14:paraId="4C3255C0">
            <w:pPr>
              <w:spacing w:line="360" w:lineRule="auto"/>
              <w:jc w:val="left"/>
              <w:rPr>
                <w:sz w:val="24"/>
              </w:rPr>
            </w:pPr>
            <w:r>
              <w:rPr>
                <w:sz w:val="24"/>
              </w:rPr>
              <w:t>4. “产业人才数据”服务接入管理：理解数据更新机制，监控数据同步状态</w:t>
            </w:r>
          </w:p>
        </w:tc>
      </w:tr>
      <w:tr w14:paraId="1DDFF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6" w:type="dxa"/>
          </w:tcPr>
          <w:p w14:paraId="0EF0E938">
            <w:pPr>
              <w:spacing w:line="360" w:lineRule="auto"/>
              <w:jc w:val="center"/>
              <w:rPr>
                <w:b/>
                <w:bCs/>
                <w:sz w:val="24"/>
              </w:rPr>
            </w:pPr>
            <w:r>
              <w:rPr>
                <w:b/>
                <w:bCs/>
                <w:sz w:val="24"/>
              </w:rPr>
              <w:t>业务骨干教师/开发者</w:t>
            </w:r>
          </w:p>
          <w:p w14:paraId="4B2FC68F">
            <w:pPr>
              <w:spacing w:line="360" w:lineRule="auto"/>
              <w:jc w:val="center"/>
              <w:rPr>
                <w:b/>
                <w:bCs/>
                <w:sz w:val="24"/>
              </w:rPr>
            </w:pPr>
            <w:r>
              <w:rPr>
                <w:b/>
                <w:bCs/>
                <w:sz w:val="24"/>
              </w:rPr>
              <w:t>(各院系、教务处、招就处)</w:t>
            </w:r>
          </w:p>
        </w:tc>
        <w:tc>
          <w:tcPr>
            <w:tcW w:w="2814" w:type="dxa"/>
          </w:tcPr>
          <w:p w14:paraId="02E14527">
            <w:pPr>
              <w:spacing w:line="360" w:lineRule="auto"/>
              <w:jc w:val="left"/>
              <w:rPr>
                <w:sz w:val="24"/>
              </w:rPr>
            </w:pPr>
            <w:r>
              <w:rPr>
                <w:sz w:val="24"/>
              </w:rPr>
              <w:t>1. 能利用平台开发业务所需的智能应用（对标低代码AI应用开发）</w:t>
            </w:r>
          </w:p>
          <w:p w14:paraId="17269D8C">
            <w:pPr>
              <w:spacing w:line="360" w:lineRule="auto"/>
              <w:jc w:val="left"/>
              <w:rPr>
                <w:sz w:val="24"/>
              </w:rPr>
            </w:pPr>
            <w:r>
              <w:rPr>
                <w:sz w:val="24"/>
              </w:rPr>
              <w:t>2. 能熟练使用“AI问数”标准应用并理解其扩展潜力（对标“AI问数”开发服务）</w:t>
            </w:r>
          </w:p>
          <w:p w14:paraId="3F76B610">
            <w:pPr>
              <w:spacing w:line="360" w:lineRule="auto"/>
              <w:jc w:val="left"/>
              <w:rPr>
                <w:sz w:val="24"/>
              </w:rPr>
            </w:pPr>
            <w:r>
              <w:rPr>
                <w:sz w:val="24"/>
              </w:rPr>
              <w:t>3. 能创建和管理本部门知识库（对标知识库管理功能）</w:t>
            </w:r>
          </w:p>
          <w:p w14:paraId="4833691E">
            <w:pPr>
              <w:spacing w:line="360" w:lineRule="auto"/>
              <w:jc w:val="left"/>
              <w:rPr>
                <w:sz w:val="24"/>
              </w:rPr>
            </w:pPr>
            <w:r>
              <w:rPr>
                <w:sz w:val="24"/>
              </w:rPr>
              <w:t>4. 能理解并应用“产业人才数据”于专业分析（对标产业数据服务）</w:t>
            </w:r>
          </w:p>
        </w:tc>
        <w:tc>
          <w:tcPr>
            <w:tcW w:w="4002" w:type="dxa"/>
          </w:tcPr>
          <w:p w14:paraId="77546D8D">
            <w:pPr>
              <w:spacing w:line="360" w:lineRule="auto"/>
              <w:jc w:val="left"/>
              <w:rPr>
                <w:sz w:val="24"/>
              </w:rPr>
            </w:pPr>
            <w:r>
              <w:rPr>
                <w:sz w:val="24"/>
              </w:rPr>
              <w:t>1. “AI问数”应用深度使用：复杂业务问题的自然语言查询构建</w:t>
            </w:r>
          </w:p>
          <w:p w14:paraId="7CFBA943">
            <w:pPr>
              <w:spacing w:line="360" w:lineRule="auto"/>
              <w:jc w:val="left"/>
              <w:rPr>
                <w:sz w:val="24"/>
              </w:rPr>
            </w:pPr>
            <w:r>
              <w:rPr>
                <w:sz w:val="24"/>
              </w:rPr>
              <w:t>2. 知识库建设实战：基于本专业标准、课程资料创建与优化知识库（向量检索、分段设置）</w:t>
            </w:r>
          </w:p>
          <w:p w14:paraId="5D997709">
            <w:pPr>
              <w:spacing w:line="360" w:lineRule="auto"/>
              <w:jc w:val="left"/>
              <w:rPr>
                <w:sz w:val="24"/>
              </w:rPr>
            </w:pPr>
            <w:r>
              <w:rPr>
                <w:sz w:val="24"/>
              </w:rPr>
              <w:t>3. 可视化工作流开发入门：利用平台工具，组合数据查询、模型、逻辑节点，搭建简单分析流程</w:t>
            </w:r>
          </w:p>
          <w:p w14:paraId="63786C4F">
            <w:pPr>
              <w:spacing w:line="360" w:lineRule="auto"/>
              <w:jc w:val="left"/>
              <w:rPr>
                <w:sz w:val="24"/>
              </w:rPr>
            </w:pPr>
            <w:r>
              <w:rPr>
                <w:sz w:val="24"/>
              </w:rPr>
              <w:t>4. 产业数据与业务结合：学习如何调用平台中的岗位能力图谱，进行专业匹配度分析</w:t>
            </w:r>
          </w:p>
        </w:tc>
      </w:tr>
      <w:tr w14:paraId="4BE53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6" w:type="dxa"/>
          </w:tcPr>
          <w:p w14:paraId="34F7BF7C">
            <w:pPr>
              <w:spacing w:line="360" w:lineRule="auto"/>
              <w:jc w:val="center"/>
              <w:rPr>
                <w:b/>
                <w:bCs/>
                <w:sz w:val="24"/>
              </w:rPr>
            </w:pPr>
            <w:r>
              <w:rPr>
                <w:b/>
                <w:bCs/>
                <w:sz w:val="24"/>
              </w:rPr>
              <w:t>终端用户</w:t>
            </w:r>
          </w:p>
          <w:p w14:paraId="1F79BD48">
            <w:pPr>
              <w:spacing w:line="360" w:lineRule="auto"/>
              <w:jc w:val="center"/>
              <w:rPr>
                <w:b/>
                <w:bCs/>
                <w:sz w:val="24"/>
              </w:rPr>
            </w:pPr>
            <w:r>
              <w:rPr>
                <w:b/>
                <w:bCs/>
                <w:sz w:val="24"/>
              </w:rPr>
              <w:t>(广大教师、行政人员)</w:t>
            </w:r>
          </w:p>
        </w:tc>
        <w:tc>
          <w:tcPr>
            <w:tcW w:w="2814" w:type="dxa"/>
          </w:tcPr>
          <w:p w14:paraId="1C5F46B4">
            <w:pPr>
              <w:spacing w:line="360" w:lineRule="auto"/>
              <w:jc w:val="left"/>
              <w:rPr>
                <w:sz w:val="24"/>
              </w:rPr>
            </w:pPr>
            <w:r>
              <w:rPr>
                <w:sz w:val="24"/>
              </w:rPr>
              <w:t>1. 能通过统一入口访问并使用平台智能应用（对标智慧校园对接）</w:t>
            </w:r>
          </w:p>
          <w:p w14:paraId="0E282F2D">
            <w:pPr>
              <w:spacing w:line="360" w:lineRule="auto"/>
              <w:jc w:val="left"/>
              <w:rPr>
                <w:sz w:val="24"/>
              </w:rPr>
            </w:pPr>
            <w:r>
              <w:rPr>
                <w:sz w:val="24"/>
              </w:rPr>
              <w:t>2. 掌握与智能问答、智能体对话的基本技巧</w:t>
            </w:r>
          </w:p>
          <w:p w14:paraId="36A68546">
            <w:pPr>
              <w:spacing w:line="360" w:lineRule="auto"/>
              <w:jc w:val="left"/>
              <w:rPr>
                <w:sz w:val="24"/>
              </w:rPr>
            </w:pPr>
            <w:r>
              <w:rPr>
                <w:sz w:val="24"/>
              </w:rPr>
              <w:t>3. 了解数据安全与使用规范</w:t>
            </w:r>
          </w:p>
        </w:tc>
        <w:tc>
          <w:tcPr>
            <w:tcW w:w="4002" w:type="dxa"/>
          </w:tcPr>
          <w:p w14:paraId="2D53A38D">
            <w:pPr>
              <w:spacing w:line="360" w:lineRule="auto"/>
              <w:jc w:val="left"/>
              <w:rPr>
                <w:sz w:val="24"/>
              </w:rPr>
            </w:pPr>
            <w:r>
              <w:rPr>
                <w:sz w:val="24"/>
              </w:rPr>
              <w:t>1. 平台访问与导航：通过智慧校园门户进入平台，查找可用应用</w:t>
            </w:r>
          </w:p>
          <w:p w14:paraId="7CB618E2">
            <w:pPr>
              <w:spacing w:line="360" w:lineRule="auto"/>
              <w:jc w:val="left"/>
              <w:rPr>
                <w:sz w:val="24"/>
              </w:rPr>
            </w:pPr>
            <w:r>
              <w:rPr>
                <w:sz w:val="24"/>
              </w:rPr>
              <w:t>2. “AI问数”标准应用操作：如何提出有效问题，解读分析结果</w:t>
            </w:r>
          </w:p>
          <w:p w14:paraId="70E58CEF">
            <w:pPr>
              <w:spacing w:line="360" w:lineRule="auto"/>
              <w:jc w:val="left"/>
              <w:rPr>
                <w:sz w:val="24"/>
              </w:rPr>
            </w:pPr>
            <w:r>
              <w:rPr>
                <w:sz w:val="24"/>
              </w:rPr>
              <w:t>3. 智能问答工具交互：如何利用对话开场白、下一步建议等功能提升效率</w:t>
            </w:r>
          </w:p>
          <w:p w14:paraId="315CB053">
            <w:pPr>
              <w:spacing w:line="360" w:lineRule="auto"/>
              <w:jc w:val="left"/>
              <w:rPr>
                <w:sz w:val="24"/>
              </w:rPr>
            </w:pPr>
            <w:r>
              <w:rPr>
                <w:sz w:val="24"/>
              </w:rPr>
              <w:t>4. 平台使用规范与安全</w:t>
            </w:r>
          </w:p>
        </w:tc>
      </w:tr>
    </w:tbl>
    <w:p w14:paraId="32ACA56E">
      <w:pPr>
        <w:spacing w:line="360" w:lineRule="auto"/>
        <w:rPr>
          <w:sz w:val="24"/>
        </w:rPr>
      </w:pPr>
    </w:p>
    <w:p w14:paraId="2453478D">
      <w:pPr>
        <w:spacing w:line="360" w:lineRule="auto"/>
        <w:ind w:firstLine="480" w:firstLineChars="200"/>
        <w:rPr>
          <w:sz w:val="24"/>
        </w:rPr>
      </w:pPr>
      <w:r>
        <w:rPr>
          <w:sz w:val="24"/>
        </w:rPr>
        <w:t>通过</w:t>
      </w:r>
      <w:r>
        <w:rPr>
          <w:rFonts w:hint="eastAsia"/>
          <w:sz w:val="24"/>
        </w:rPr>
        <w:t>表4的</w:t>
      </w:r>
      <w:r>
        <w:rPr>
          <w:sz w:val="24"/>
        </w:rPr>
        <w:t>专项分析，我们清晰地看到，技术平台是坚实的“躯体”，而全面、深入、前瞻性的实施与服务保障体系则是赋予其“生命力”、“适应力”与“进化力”的“血液与神经网络”。我们的方案将确保这两者深度融合，共同支撑常州工程职业技术学院稳健、高效地实现AI数智化转型的战略蓝图。</w:t>
      </w:r>
    </w:p>
    <w:p w14:paraId="29ECB6DA">
      <w:pPr>
        <w:spacing w:line="360" w:lineRule="auto"/>
        <w:ind w:firstLine="480" w:firstLineChars="200"/>
        <w:rPr>
          <w:sz w:val="24"/>
        </w:rPr>
      </w:pPr>
    </w:p>
    <w:p w14:paraId="792F9FBC">
      <w:pPr>
        <w:numPr>
          <w:ilvl w:val="1"/>
          <w:numId w:val="1"/>
        </w:numPr>
        <w:spacing w:line="360" w:lineRule="auto"/>
        <w:outlineLvl w:val="1"/>
        <w:rPr>
          <w:b/>
          <w:bCs/>
          <w:sz w:val="30"/>
          <w:szCs w:val="30"/>
        </w:rPr>
      </w:pPr>
      <w:bookmarkStart w:id="17" w:name="_Toc221113242"/>
      <w:r>
        <w:rPr>
          <w:b/>
          <w:bCs/>
          <w:sz w:val="30"/>
          <w:szCs w:val="30"/>
        </w:rPr>
        <w:t>项目综合重难点与一体化应对策略</w:t>
      </w:r>
      <w:bookmarkEnd w:id="17"/>
    </w:p>
    <w:p w14:paraId="330FE7A2">
      <w:pPr>
        <w:spacing w:line="360" w:lineRule="auto"/>
        <w:rPr>
          <w:sz w:val="24"/>
        </w:rPr>
      </w:pPr>
    </w:p>
    <w:p w14:paraId="043600E8">
      <w:pPr>
        <w:spacing w:line="360" w:lineRule="auto"/>
        <w:ind w:firstLine="480" w:firstLineChars="200"/>
        <w:rPr>
          <w:sz w:val="24"/>
        </w:rPr>
      </w:pPr>
      <w:r>
        <w:rPr>
          <w:sz w:val="24"/>
        </w:rPr>
        <w:t>本项目的成功实施不仅依赖于技术平台的先进性，更在于能否系统性地识别并化解在集成、交付、服务与赋能全过程中所面临的多重挑战。我们深刻理解，采购方所寻求的是一个能够长期稳定运行、深度融入业务、并能持续激发内部创新活力的智能中枢，而非一次性交付的孤立系统。基于此认知，我们将项目实施的核心难点归纳为三个层面，并提出了贯穿技术架构、服务流程与管理机制的一体化应对策略。</w:t>
      </w:r>
    </w:p>
    <w:p w14:paraId="26CD6999">
      <w:pPr>
        <w:spacing w:line="360" w:lineRule="auto"/>
        <w:jc w:val="center"/>
        <w:rPr>
          <w:b/>
          <w:bCs/>
        </w:rPr>
      </w:pPr>
      <w:r>
        <w:rPr>
          <w:rFonts w:hint="eastAsia"/>
          <w:b/>
          <w:bCs/>
        </w:rPr>
        <w:t>图</w:t>
      </w:r>
      <w:r>
        <w:rPr>
          <w:b/>
          <w:bCs/>
        </w:rPr>
        <w:drawing>
          <wp:anchor distT="0" distB="0" distL="114300" distR="114300" simplePos="0" relativeHeight="251664384" behindDoc="0" locked="0" layoutInCell="1" allowOverlap="1">
            <wp:simplePos x="0" y="0"/>
            <wp:positionH relativeFrom="column">
              <wp:posOffset>-226695</wp:posOffset>
            </wp:positionH>
            <wp:positionV relativeFrom="paragraph">
              <wp:posOffset>125095</wp:posOffset>
            </wp:positionV>
            <wp:extent cx="5635625" cy="2858770"/>
            <wp:effectExtent l="133350" t="114300" r="155575" b="170180"/>
            <wp:wrapSquare wrapText="bothSides"/>
            <wp:docPr id="17913429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342907" name="图片 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35625" cy="2858770"/>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rFonts w:hint="eastAsia"/>
          <w:b/>
          <w:bCs/>
        </w:rPr>
        <w:t>11 项目</w:t>
      </w:r>
      <w:r>
        <w:rPr>
          <w:b/>
          <w:bCs/>
        </w:rPr>
        <w:t>综合重难点与一体化应对策略</w:t>
      </w:r>
    </w:p>
    <w:p w14:paraId="3158D798">
      <w:pPr>
        <w:numPr>
          <w:ilvl w:val="2"/>
          <w:numId w:val="1"/>
        </w:numPr>
        <w:spacing w:line="360" w:lineRule="auto"/>
        <w:outlineLvl w:val="2"/>
        <w:rPr>
          <w:b/>
          <w:bCs/>
          <w:sz w:val="28"/>
          <w:szCs w:val="28"/>
        </w:rPr>
      </w:pPr>
      <w:bookmarkStart w:id="18" w:name="_Toc221113243"/>
      <w:r>
        <w:rPr>
          <w:b/>
          <w:bCs/>
          <w:sz w:val="28"/>
          <w:szCs w:val="28"/>
        </w:rPr>
        <w:t>构系统无缝集成与多源数据高质量融合的复杂性</w:t>
      </w:r>
      <w:bookmarkEnd w:id="18"/>
    </w:p>
    <w:p w14:paraId="3853A0DC">
      <w:pPr>
        <w:spacing w:line="360" w:lineRule="auto"/>
        <w:rPr>
          <w:sz w:val="24"/>
        </w:rPr>
      </w:pPr>
    </w:p>
    <w:p w14:paraId="7B4EEC10">
      <w:pPr>
        <w:spacing w:line="360" w:lineRule="auto"/>
        <w:ind w:firstLine="480" w:firstLineChars="200"/>
        <w:rPr>
          <w:sz w:val="24"/>
        </w:rPr>
      </w:pPr>
      <w:r>
        <w:rPr>
          <w:sz w:val="24"/>
        </w:rPr>
        <w:t>项目的首要技术挑战在于如何将新建的AI数智平台与学校既有的智慧校园体系（如统一身份认证、各业务系统、校本数据中心）进行深度、无损、安全的对接，并实现跨系统数据的实时汇聚、标准治理与业务就绪。这绝非简单的接口开发，而是涉及数据标准不统一、接口规范各异、安全策略复杂且需确保业务连续性的系统工程。</w:t>
      </w:r>
    </w:p>
    <w:p w14:paraId="1DC32158">
      <w:pPr>
        <w:spacing w:line="360" w:lineRule="auto"/>
        <w:ind w:firstLine="480" w:firstLineChars="200"/>
        <w:rPr>
          <w:sz w:val="24"/>
        </w:rPr>
      </w:pPr>
    </w:p>
    <w:p w14:paraId="61E2E670">
      <w:pPr>
        <w:spacing w:line="360" w:lineRule="auto"/>
        <w:ind w:firstLine="480" w:firstLineChars="200"/>
        <w:rPr>
          <w:sz w:val="24"/>
        </w:rPr>
      </w:pPr>
      <w:r>
        <w:rPr>
          <w:sz w:val="24"/>
        </w:rPr>
        <w:t>一体化应对策略：采用“平台化思维”构建开放、标准、安全的融合中枢</w:t>
      </w:r>
      <w:r>
        <w:rPr>
          <w:rFonts w:hint="eastAsia"/>
          <w:sz w:val="24"/>
        </w:rPr>
        <w:t>，如图12所示。</w:t>
      </w:r>
      <w:r>
        <w:rPr>
          <w:sz w:val="24"/>
        </w:rPr>
        <w:t>技术上，我们摒弃传统的点对点集成模式，转而基于微服务架构设计平台。核心在于构建一个统一的API网关与服务总线，作为平台与所有外部系统交互的唯一“关口”。对于数据接入，平台提供可视化配置界面，支持从数据库、API、文件（FTP/SFTP）等多种来源抽取数据，并通过内置的、可自定义的数据清洗、转换规则引擎，将异构数据转换为符合学校数据标准的“主题数据”与“标签数据”。例如，来自教务系统的“课程成绩”与来自学工系统的“活动记录”，可在平台内通过预置的学业发展主题模型，自动融合生成为“学生综合素养标签”。</w:t>
      </w:r>
    </w:p>
    <w:p w14:paraId="58AF3CBD">
      <w:pPr>
        <w:spacing w:line="360" w:lineRule="auto"/>
        <w:ind w:firstLine="480" w:firstLineChars="200"/>
        <w:rPr>
          <w:sz w:val="24"/>
        </w:rPr>
      </w:pPr>
    </w:p>
    <w:p w14:paraId="55BA07A2">
      <w:pPr>
        <w:spacing w:line="360" w:lineRule="auto"/>
        <w:ind w:firstLine="480" w:firstLineChars="200"/>
        <w:rPr>
          <w:sz w:val="24"/>
        </w:rPr>
      </w:pPr>
      <w:r>
        <w:rPr>
          <w:sz w:val="24"/>
        </w:rPr>
        <w:t>在安全与体验层面，我们严格遵循招标文件对“智慧校园对接服务”的要求，采用OAuth 2.0等国际标准协议与学校统一身份认证中心对接，实现单点登录（SSO）与细粒度权限继承。用户从智慧校园门户点击入口进入本平台时，其角色与数据访问权限已自动同步，确保体验无缝、数据安全。此外，所有数据流动均在加密通道中进行，并记录完整审计日志，满足等保要求。</w:t>
      </w:r>
    </w:p>
    <w:p w14:paraId="5CC3BE0C">
      <w:pPr>
        <w:spacing w:line="360" w:lineRule="auto"/>
        <w:ind w:firstLine="480" w:firstLineChars="200"/>
        <w:rPr>
          <w:sz w:val="24"/>
        </w:rPr>
      </w:pPr>
    </w:p>
    <w:p w14:paraId="5C5EB749">
      <w:pPr>
        <w:spacing w:line="360" w:lineRule="auto"/>
        <w:jc w:val="center"/>
        <w:rPr>
          <w:sz w:val="24"/>
        </w:rPr>
      </w:pPr>
      <w:r>
        <w:rPr>
          <w:sz w:val="24"/>
        </w:rPr>
        <w:drawing>
          <wp:inline distT="0" distB="0" distL="114300" distR="114300">
            <wp:extent cx="5149850" cy="5588635"/>
            <wp:effectExtent l="0" t="0" r="0" b="0"/>
            <wp:docPr id="10" name="图片 10" descr="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4.1"/>
                    <pic:cNvPicPr>
                      <a:picLocks noChangeAspect="1"/>
                    </pic:cNvPicPr>
                  </pic:nvPicPr>
                  <pic:blipFill>
                    <a:blip r:embed="rId16"/>
                    <a:stretch>
                      <a:fillRect/>
                    </a:stretch>
                  </pic:blipFill>
                  <pic:spPr>
                    <a:xfrm>
                      <a:off x="0" y="0"/>
                      <a:ext cx="5166089" cy="5606442"/>
                    </a:xfrm>
                    <a:prstGeom prst="rect">
                      <a:avLst/>
                    </a:prstGeom>
                  </pic:spPr>
                </pic:pic>
              </a:graphicData>
            </a:graphic>
          </wp:inline>
        </w:drawing>
      </w:r>
    </w:p>
    <w:p w14:paraId="38AA5F0F">
      <w:pPr>
        <w:pStyle w:val="2"/>
        <w:spacing w:line="360" w:lineRule="auto"/>
        <w:jc w:val="center"/>
        <w:rPr>
          <w:rFonts w:asciiTheme="minorHAnsi" w:hAnsiTheme="minorHAnsi" w:eastAsiaTheme="minorEastAsia"/>
          <w:b/>
          <w:bCs/>
          <w:sz w:val="21"/>
        </w:rPr>
      </w:pPr>
      <w:r>
        <w:rPr>
          <w:rFonts w:hint="eastAsia" w:asciiTheme="minorHAnsi" w:hAnsiTheme="minorHAnsi" w:eastAsiaTheme="minorEastAsia"/>
          <w:b/>
          <w:bCs/>
          <w:sz w:val="21"/>
        </w:rPr>
        <w:t>图12 平台融合架构图</w:t>
      </w:r>
    </w:p>
    <w:p w14:paraId="7B0D9FBB">
      <w:pPr>
        <w:spacing w:line="360" w:lineRule="auto"/>
      </w:pPr>
    </w:p>
    <w:p w14:paraId="54B5CE9B">
      <w:pPr>
        <w:numPr>
          <w:ilvl w:val="2"/>
          <w:numId w:val="1"/>
        </w:numPr>
        <w:spacing w:line="360" w:lineRule="auto"/>
        <w:outlineLvl w:val="2"/>
        <w:rPr>
          <w:b/>
          <w:bCs/>
          <w:sz w:val="28"/>
          <w:szCs w:val="28"/>
        </w:rPr>
      </w:pPr>
      <w:bookmarkStart w:id="19" w:name="_Toc221113244"/>
      <w:r>
        <w:rPr>
          <w:b/>
          <w:bCs/>
          <w:sz w:val="28"/>
          <w:szCs w:val="28"/>
        </w:rPr>
        <w:t>确保平台长期稳健运行与业务需求即时响应的双重压力</w:t>
      </w:r>
      <w:bookmarkEnd w:id="19"/>
    </w:p>
    <w:p w14:paraId="5DC3EBF2">
      <w:pPr>
        <w:spacing w:line="360" w:lineRule="auto"/>
        <w:rPr>
          <w:sz w:val="24"/>
        </w:rPr>
      </w:pPr>
    </w:p>
    <w:p w14:paraId="403F825F">
      <w:pPr>
        <w:spacing w:line="360" w:lineRule="auto"/>
        <w:ind w:firstLine="480" w:firstLineChars="200"/>
        <w:rPr>
          <w:sz w:val="24"/>
        </w:rPr>
      </w:pPr>
      <w:r>
        <w:rPr>
          <w:sz w:val="24"/>
        </w:rPr>
        <w:t>招标文件明确要求提供三年免费质保、7×24小时即时响应以及每半年定期检查。这要求我们不仅要高质量完成初期部署，更要建立一套能预见风险、快速恢复、并持续优化的事前、事中、事后全周期主动式运维保障体系，以应对教学管理业务不间断运行的高标准要求。</w:t>
      </w:r>
    </w:p>
    <w:p w14:paraId="5F796016">
      <w:pPr>
        <w:spacing w:line="360" w:lineRule="auto"/>
        <w:ind w:firstLine="480" w:firstLineChars="200"/>
        <w:rPr>
          <w:sz w:val="24"/>
        </w:rPr>
      </w:pPr>
    </w:p>
    <w:p w14:paraId="4E680335">
      <w:pPr>
        <w:spacing w:line="360" w:lineRule="auto"/>
        <w:ind w:firstLine="480" w:firstLineChars="200"/>
        <w:rPr>
          <w:sz w:val="24"/>
        </w:rPr>
      </w:pPr>
      <w:r>
        <w:rPr>
          <w:sz w:val="24"/>
        </w:rPr>
        <w:t>一体化应对策略：构建“智能监控+分级响应+预防性维护”的立体化服务运营体系</w:t>
      </w:r>
      <w:r>
        <w:rPr>
          <w:rFonts w:hint="eastAsia"/>
          <w:sz w:val="24"/>
        </w:rPr>
        <w:t>，如表5所示</w:t>
      </w:r>
      <w:r>
        <w:rPr>
          <w:sz w:val="24"/>
        </w:rPr>
        <w:t>。我们将为平台部署一套集成的智能运维监控中心，对应用性能、数据管道健康度、API接口成功率、算力资源负载等数百项指标进行实时采集与可视化展示。系统通过机器学习算法学习正常基线，实现异常波动（如某知识库检索响应时间异常延长）的主动预警，将问题发现从“用户报障”提前至“系统预警”。</w:t>
      </w:r>
    </w:p>
    <w:p w14:paraId="074FF295">
      <w:pPr>
        <w:spacing w:line="360" w:lineRule="auto"/>
        <w:ind w:firstLine="480" w:firstLineChars="200"/>
        <w:rPr>
          <w:sz w:val="24"/>
        </w:rPr>
      </w:pPr>
    </w:p>
    <w:p w14:paraId="2119E7F1">
      <w:pPr>
        <w:spacing w:line="360" w:lineRule="auto"/>
        <w:ind w:firstLine="480" w:firstLineChars="200"/>
        <w:rPr>
          <w:sz w:val="24"/>
        </w:rPr>
      </w:pPr>
      <w:r>
        <w:rPr>
          <w:sz w:val="24"/>
        </w:rPr>
        <w:t>在响应机制上，我们设立 “本地一线团队+区域技术支持中心+总部专家后台” 三级联动体系。针对不同级别的事件（如：核心应用不可用、数据更新延迟、一般性使用咨询），制定明确的SLA（服务等级协议）响应与解决时限。7×24小时热线与在线工单系统确保任何问题都能被即时受理与跟踪。同时，“每半年一次的系统深度检查”将被制度化，其内容远超硬件巡检，而是与校方共同进行性能调优评估、安全漏洞扫描、业务使用数据分析以及下一阶段需求调研，将被动服务转变为共同规划和主动优化。</w:t>
      </w:r>
    </w:p>
    <w:p w14:paraId="79E3C9A9">
      <w:pPr>
        <w:pStyle w:val="2"/>
        <w:spacing w:line="360" w:lineRule="auto"/>
        <w:jc w:val="center"/>
        <w:rPr>
          <w:rFonts w:asciiTheme="minorHAnsi" w:hAnsiTheme="minorHAnsi" w:eastAsiaTheme="minorEastAsia"/>
          <w:b/>
          <w:bCs/>
          <w:sz w:val="21"/>
        </w:rPr>
      </w:pPr>
      <w:r>
        <w:rPr>
          <w:rFonts w:hint="eastAsia" w:asciiTheme="minorHAnsi" w:hAnsiTheme="minorHAnsi" w:eastAsiaTheme="minorEastAsia"/>
          <w:b/>
          <w:bCs/>
          <w:sz w:val="21"/>
        </w:rPr>
        <w:t>表5 平台服务事件分级响应与处理机制表</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0"/>
        <w:gridCol w:w="2051"/>
        <w:gridCol w:w="1288"/>
        <w:gridCol w:w="1220"/>
        <w:gridCol w:w="1302"/>
        <w:gridCol w:w="1421"/>
      </w:tblGrid>
      <w:tr w14:paraId="26E25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0" w:type="dxa"/>
          </w:tcPr>
          <w:p w14:paraId="32BC52AE">
            <w:pPr>
              <w:spacing w:line="360" w:lineRule="auto"/>
              <w:jc w:val="center"/>
              <w:rPr>
                <w:b/>
                <w:bCs/>
                <w:sz w:val="24"/>
              </w:rPr>
            </w:pPr>
            <w:r>
              <w:rPr>
                <w:b/>
                <w:bCs/>
                <w:sz w:val="24"/>
              </w:rPr>
              <w:t>事件等级</w:t>
            </w:r>
          </w:p>
        </w:tc>
        <w:tc>
          <w:tcPr>
            <w:tcW w:w="2051" w:type="dxa"/>
          </w:tcPr>
          <w:p w14:paraId="7DBCA178">
            <w:pPr>
              <w:spacing w:line="360" w:lineRule="auto"/>
              <w:jc w:val="center"/>
              <w:rPr>
                <w:b/>
                <w:bCs/>
                <w:sz w:val="24"/>
              </w:rPr>
            </w:pPr>
            <w:r>
              <w:rPr>
                <w:b/>
                <w:bCs/>
                <w:sz w:val="24"/>
              </w:rPr>
              <w:t>定义与示例</w:t>
            </w:r>
          </w:p>
        </w:tc>
        <w:tc>
          <w:tcPr>
            <w:tcW w:w="1288" w:type="dxa"/>
          </w:tcPr>
          <w:p w14:paraId="488B64A4">
            <w:pPr>
              <w:spacing w:line="360" w:lineRule="auto"/>
              <w:jc w:val="center"/>
              <w:rPr>
                <w:b/>
                <w:bCs/>
                <w:sz w:val="24"/>
              </w:rPr>
            </w:pPr>
            <w:r>
              <w:rPr>
                <w:b/>
                <w:bCs/>
                <w:sz w:val="24"/>
              </w:rPr>
              <w:t>响应时限</w:t>
            </w:r>
          </w:p>
        </w:tc>
        <w:tc>
          <w:tcPr>
            <w:tcW w:w="1220" w:type="dxa"/>
          </w:tcPr>
          <w:p w14:paraId="26A0BEB9">
            <w:pPr>
              <w:spacing w:line="360" w:lineRule="auto"/>
              <w:jc w:val="center"/>
              <w:rPr>
                <w:b/>
                <w:bCs/>
                <w:sz w:val="24"/>
              </w:rPr>
            </w:pPr>
            <w:r>
              <w:rPr>
                <w:b/>
                <w:bCs/>
                <w:sz w:val="24"/>
              </w:rPr>
              <w:t>解决时限</w:t>
            </w:r>
          </w:p>
        </w:tc>
        <w:tc>
          <w:tcPr>
            <w:tcW w:w="1302" w:type="dxa"/>
          </w:tcPr>
          <w:p w14:paraId="7FC17C32">
            <w:pPr>
              <w:spacing w:line="360" w:lineRule="auto"/>
              <w:jc w:val="center"/>
              <w:rPr>
                <w:b/>
                <w:bCs/>
                <w:sz w:val="24"/>
              </w:rPr>
            </w:pPr>
            <w:r>
              <w:rPr>
                <w:b/>
                <w:bCs/>
                <w:sz w:val="24"/>
              </w:rPr>
              <w:t>升级路径</w:t>
            </w:r>
          </w:p>
        </w:tc>
        <w:tc>
          <w:tcPr>
            <w:tcW w:w="1421" w:type="dxa"/>
          </w:tcPr>
          <w:p w14:paraId="3CC684D2">
            <w:pPr>
              <w:spacing w:line="360" w:lineRule="auto"/>
              <w:jc w:val="center"/>
              <w:rPr>
                <w:b/>
                <w:bCs/>
                <w:sz w:val="24"/>
              </w:rPr>
            </w:pPr>
            <w:r>
              <w:rPr>
                <w:b/>
                <w:bCs/>
                <w:sz w:val="24"/>
              </w:rPr>
              <w:t>通报机制</w:t>
            </w:r>
          </w:p>
        </w:tc>
      </w:tr>
      <w:tr w14:paraId="179B94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0" w:type="dxa"/>
          </w:tcPr>
          <w:p w14:paraId="53A8DAA4">
            <w:pPr>
              <w:spacing w:line="360" w:lineRule="auto"/>
              <w:jc w:val="center"/>
              <w:rPr>
                <w:b/>
                <w:bCs/>
                <w:sz w:val="24"/>
              </w:rPr>
            </w:pPr>
            <w:r>
              <w:rPr>
                <w:b/>
                <w:bCs/>
                <w:sz w:val="24"/>
              </w:rPr>
              <w:t>P0 - 紧急</w:t>
            </w:r>
          </w:p>
        </w:tc>
        <w:tc>
          <w:tcPr>
            <w:tcW w:w="2051" w:type="dxa"/>
          </w:tcPr>
          <w:p w14:paraId="0FD89A53">
            <w:pPr>
              <w:spacing w:line="360" w:lineRule="auto"/>
              <w:jc w:val="center"/>
              <w:rPr>
                <w:sz w:val="24"/>
              </w:rPr>
            </w:pPr>
            <w:r>
              <w:rPr>
                <w:sz w:val="24"/>
              </w:rPr>
              <w:t>核心服务中断</w:t>
            </w:r>
          </w:p>
          <w:p w14:paraId="03A52657">
            <w:pPr>
              <w:spacing w:line="360" w:lineRule="auto"/>
              <w:jc w:val="center"/>
              <w:rPr>
                <w:sz w:val="24"/>
              </w:rPr>
            </w:pPr>
            <w:r>
              <w:rPr>
                <w:sz w:val="24"/>
              </w:rPr>
              <w:t>• 平台完全无法访问</w:t>
            </w:r>
          </w:p>
          <w:p w14:paraId="71BC9651">
            <w:pPr>
              <w:spacing w:line="360" w:lineRule="auto"/>
              <w:jc w:val="center"/>
              <w:rPr>
                <w:sz w:val="24"/>
              </w:rPr>
            </w:pPr>
            <w:r>
              <w:rPr>
                <w:sz w:val="24"/>
              </w:rPr>
              <w:t>• “AI问数”等关键应用故障</w:t>
            </w:r>
          </w:p>
          <w:p w14:paraId="6ADFA2E6">
            <w:pPr>
              <w:spacing w:line="360" w:lineRule="auto"/>
              <w:jc w:val="center"/>
              <w:rPr>
                <w:sz w:val="24"/>
              </w:rPr>
            </w:pPr>
            <w:r>
              <w:rPr>
                <w:sz w:val="24"/>
              </w:rPr>
              <w:t>• 数据湖核心管道中断</w:t>
            </w:r>
          </w:p>
        </w:tc>
        <w:tc>
          <w:tcPr>
            <w:tcW w:w="1288" w:type="dxa"/>
          </w:tcPr>
          <w:p w14:paraId="20794CF7">
            <w:pPr>
              <w:spacing w:line="360" w:lineRule="auto"/>
              <w:jc w:val="center"/>
              <w:rPr>
                <w:sz w:val="24"/>
              </w:rPr>
            </w:pPr>
            <w:r>
              <w:rPr>
                <w:sz w:val="24"/>
              </w:rPr>
              <w:t>≤15分钟</w:t>
            </w:r>
          </w:p>
        </w:tc>
        <w:tc>
          <w:tcPr>
            <w:tcW w:w="1220" w:type="dxa"/>
          </w:tcPr>
          <w:p w14:paraId="688A597F">
            <w:pPr>
              <w:spacing w:line="360" w:lineRule="auto"/>
              <w:jc w:val="center"/>
              <w:rPr>
                <w:sz w:val="24"/>
              </w:rPr>
            </w:pPr>
            <w:r>
              <w:rPr>
                <w:sz w:val="24"/>
              </w:rPr>
              <w:t>≤4小时</w:t>
            </w:r>
          </w:p>
        </w:tc>
        <w:tc>
          <w:tcPr>
            <w:tcW w:w="1302" w:type="dxa"/>
          </w:tcPr>
          <w:p w14:paraId="1E985F11">
            <w:pPr>
              <w:spacing w:line="360" w:lineRule="auto"/>
              <w:jc w:val="center"/>
              <w:rPr>
                <w:sz w:val="24"/>
              </w:rPr>
            </w:pPr>
            <w:r>
              <w:rPr>
                <w:sz w:val="24"/>
              </w:rPr>
              <w:t>现场工程师即刻介入 → 技术总监 → 公司专家组</w:t>
            </w:r>
          </w:p>
        </w:tc>
        <w:tc>
          <w:tcPr>
            <w:tcW w:w="1421" w:type="dxa"/>
          </w:tcPr>
          <w:p w14:paraId="5683C14D">
            <w:pPr>
              <w:spacing w:line="360" w:lineRule="auto"/>
              <w:jc w:val="center"/>
              <w:rPr>
                <w:sz w:val="24"/>
              </w:rPr>
            </w:pPr>
            <w:r>
              <w:rPr>
                <w:sz w:val="24"/>
              </w:rPr>
              <w:t>即时通知采购人项目负责人及信息中心主管</w:t>
            </w:r>
          </w:p>
        </w:tc>
      </w:tr>
      <w:tr w14:paraId="616C7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0" w:type="dxa"/>
          </w:tcPr>
          <w:p w14:paraId="46A33AF7">
            <w:pPr>
              <w:spacing w:line="360" w:lineRule="auto"/>
              <w:jc w:val="center"/>
              <w:rPr>
                <w:b/>
                <w:bCs/>
                <w:sz w:val="24"/>
              </w:rPr>
            </w:pPr>
            <w:r>
              <w:rPr>
                <w:b/>
                <w:bCs/>
                <w:sz w:val="24"/>
              </w:rPr>
              <w:t>P1 - 高</w:t>
            </w:r>
          </w:p>
        </w:tc>
        <w:tc>
          <w:tcPr>
            <w:tcW w:w="2051" w:type="dxa"/>
          </w:tcPr>
          <w:p w14:paraId="7F19DD35">
            <w:pPr>
              <w:spacing w:line="360" w:lineRule="auto"/>
              <w:jc w:val="center"/>
              <w:rPr>
                <w:sz w:val="24"/>
              </w:rPr>
            </w:pPr>
            <w:r>
              <w:rPr>
                <w:sz w:val="24"/>
              </w:rPr>
              <w:t>主要功能受损</w:t>
            </w:r>
          </w:p>
          <w:p w14:paraId="1E484566">
            <w:pPr>
              <w:spacing w:line="360" w:lineRule="auto"/>
              <w:jc w:val="center"/>
              <w:rPr>
                <w:sz w:val="24"/>
              </w:rPr>
            </w:pPr>
            <w:r>
              <w:rPr>
                <w:sz w:val="24"/>
              </w:rPr>
              <w:t>• 部分模块（如知识库检索）性能严重下降</w:t>
            </w:r>
          </w:p>
          <w:p w14:paraId="559B195E">
            <w:pPr>
              <w:spacing w:line="360" w:lineRule="auto"/>
              <w:jc w:val="center"/>
              <w:rPr>
                <w:sz w:val="24"/>
              </w:rPr>
            </w:pPr>
            <w:r>
              <w:rPr>
                <w:sz w:val="24"/>
              </w:rPr>
              <w:t>• 特定业务数据同步失败</w:t>
            </w:r>
          </w:p>
          <w:p w14:paraId="3A2917A5">
            <w:pPr>
              <w:spacing w:line="360" w:lineRule="auto"/>
              <w:jc w:val="center"/>
              <w:rPr>
                <w:sz w:val="24"/>
              </w:rPr>
            </w:pPr>
            <w:r>
              <w:rPr>
                <w:sz w:val="24"/>
              </w:rPr>
              <w:t>• 工作流引擎执行错误</w:t>
            </w:r>
          </w:p>
        </w:tc>
        <w:tc>
          <w:tcPr>
            <w:tcW w:w="1288" w:type="dxa"/>
          </w:tcPr>
          <w:p w14:paraId="557CEF61">
            <w:pPr>
              <w:spacing w:line="360" w:lineRule="auto"/>
              <w:jc w:val="center"/>
              <w:rPr>
                <w:sz w:val="24"/>
              </w:rPr>
            </w:pPr>
            <w:r>
              <w:rPr>
                <w:sz w:val="24"/>
              </w:rPr>
              <w:t>≤30分钟</w:t>
            </w:r>
          </w:p>
        </w:tc>
        <w:tc>
          <w:tcPr>
            <w:tcW w:w="1220" w:type="dxa"/>
          </w:tcPr>
          <w:p w14:paraId="34F83F4B">
            <w:pPr>
              <w:spacing w:line="360" w:lineRule="auto"/>
              <w:jc w:val="center"/>
              <w:rPr>
                <w:sz w:val="24"/>
              </w:rPr>
            </w:pPr>
            <w:r>
              <w:rPr>
                <w:sz w:val="24"/>
              </w:rPr>
              <w:t>≤12小时</w:t>
            </w:r>
          </w:p>
        </w:tc>
        <w:tc>
          <w:tcPr>
            <w:tcW w:w="1302" w:type="dxa"/>
          </w:tcPr>
          <w:p w14:paraId="32A0FF08">
            <w:pPr>
              <w:spacing w:line="360" w:lineRule="auto"/>
              <w:jc w:val="center"/>
              <w:rPr>
                <w:sz w:val="24"/>
              </w:rPr>
            </w:pPr>
            <w:r>
              <w:rPr>
                <w:sz w:val="24"/>
              </w:rPr>
              <w:t>远程支持优先诊断 → 本地工程师预备现场支持</w:t>
            </w:r>
          </w:p>
        </w:tc>
        <w:tc>
          <w:tcPr>
            <w:tcW w:w="1421" w:type="dxa"/>
          </w:tcPr>
          <w:p w14:paraId="6564A720">
            <w:pPr>
              <w:spacing w:line="360" w:lineRule="auto"/>
              <w:jc w:val="center"/>
              <w:rPr>
                <w:sz w:val="24"/>
              </w:rPr>
            </w:pPr>
            <w:r>
              <w:rPr>
                <w:sz w:val="24"/>
              </w:rPr>
              <w:t>2小时内通报进展，解决后提交详细报告</w:t>
            </w:r>
          </w:p>
        </w:tc>
      </w:tr>
      <w:tr w14:paraId="6A600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0" w:type="dxa"/>
          </w:tcPr>
          <w:p w14:paraId="1881FB6A">
            <w:pPr>
              <w:spacing w:line="360" w:lineRule="auto"/>
              <w:jc w:val="center"/>
              <w:rPr>
                <w:b/>
                <w:bCs/>
                <w:sz w:val="24"/>
              </w:rPr>
            </w:pPr>
            <w:r>
              <w:rPr>
                <w:b/>
                <w:bCs/>
                <w:sz w:val="24"/>
              </w:rPr>
              <w:t>P2 - 中</w:t>
            </w:r>
          </w:p>
        </w:tc>
        <w:tc>
          <w:tcPr>
            <w:tcW w:w="2051" w:type="dxa"/>
          </w:tcPr>
          <w:p w14:paraId="4D96DB03">
            <w:pPr>
              <w:spacing w:line="360" w:lineRule="auto"/>
              <w:jc w:val="center"/>
              <w:rPr>
                <w:sz w:val="24"/>
              </w:rPr>
            </w:pPr>
            <w:r>
              <w:rPr>
                <w:sz w:val="24"/>
              </w:rPr>
              <w:t>一般性功能问题</w:t>
            </w:r>
          </w:p>
          <w:p w14:paraId="2F5CE333">
            <w:pPr>
              <w:spacing w:line="360" w:lineRule="auto"/>
              <w:jc w:val="center"/>
              <w:rPr>
                <w:sz w:val="24"/>
              </w:rPr>
            </w:pPr>
            <w:r>
              <w:rPr>
                <w:sz w:val="24"/>
              </w:rPr>
              <w:t>• 非核心功能异常</w:t>
            </w:r>
          </w:p>
          <w:p w14:paraId="1984DE97">
            <w:pPr>
              <w:spacing w:line="360" w:lineRule="auto"/>
              <w:jc w:val="center"/>
              <w:rPr>
                <w:sz w:val="24"/>
              </w:rPr>
            </w:pPr>
            <w:r>
              <w:rPr>
                <w:sz w:val="24"/>
              </w:rPr>
              <w:t>• 用户操作咨询</w:t>
            </w:r>
          </w:p>
          <w:p w14:paraId="195C1023">
            <w:pPr>
              <w:spacing w:line="360" w:lineRule="auto"/>
              <w:jc w:val="center"/>
              <w:rPr>
                <w:sz w:val="24"/>
              </w:rPr>
            </w:pPr>
            <w:r>
              <w:rPr>
                <w:sz w:val="24"/>
              </w:rPr>
              <w:t>• 报表生成延迟</w:t>
            </w:r>
          </w:p>
        </w:tc>
        <w:tc>
          <w:tcPr>
            <w:tcW w:w="1288" w:type="dxa"/>
          </w:tcPr>
          <w:p w14:paraId="7BE3DAEA">
            <w:pPr>
              <w:spacing w:line="360" w:lineRule="auto"/>
              <w:jc w:val="center"/>
              <w:rPr>
                <w:sz w:val="24"/>
              </w:rPr>
            </w:pPr>
            <w:r>
              <w:rPr>
                <w:sz w:val="24"/>
              </w:rPr>
              <w:t>≤1小时</w:t>
            </w:r>
          </w:p>
        </w:tc>
        <w:tc>
          <w:tcPr>
            <w:tcW w:w="1220" w:type="dxa"/>
          </w:tcPr>
          <w:p w14:paraId="6F5238CB">
            <w:pPr>
              <w:spacing w:line="360" w:lineRule="auto"/>
              <w:jc w:val="center"/>
              <w:rPr>
                <w:sz w:val="24"/>
              </w:rPr>
            </w:pPr>
            <w:r>
              <w:rPr>
                <w:sz w:val="24"/>
              </w:rPr>
              <w:t>≤24小时</w:t>
            </w:r>
          </w:p>
        </w:tc>
        <w:tc>
          <w:tcPr>
            <w:tcW w:w="1302" w:type="dxa"/>
          </w:tcPr>
          <w:p w14:paraId="4059B244">
            <w:pPr>
              <w:spacing w:line="360" w:lineRule="auto"/>
              <w:jc w:val="center"/>
              <w:rPr>
                <w:sz w:val="24"/>
              </w:rPr>
            </w:pPr>
            <w:r>
              <w:rPr>
                <w:sz w:val="24"/>
              </w:rPr>
              <w:t>一线支持团队处理 → 必要时升级至二线专家</w:t>
            </w:r>
          </w:p>
        </w:tc>
        <w:tc>
          <w:tcPr>
            <w:tcW w:w="1421" w:type="dxa"/>
          </w:tcPr>
          <w:p w14:paraId="4C18B18B">
            <w:pPr>
              <w:spacing w:line="360" w:lineRule="auto"/>
              <w:jc w:val="center"/>
              <w:rPr>
                <w:sz w:val="24"/>
              </w:rPr>
            </w:pPr>
            <w:r>
              <w:rPr>
                <w:sz w:val="24"/>
              </w:rPr>
              <w:t>纳入每日服务报告，定期汇总反馈</w:t>
            </w:r>
          </w:p>
        </w:tc>
      </w:tr>
      <w:tr w14:paraId="4B144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0" w:type="dxa"/>
          </w:tcPr>
          <w:p w14:paraId="02396163">
            <w:pPr>
              <w:spacing w:line="360" w:lineRule="auto"/>
              <w:jc w:val="center"/>
              <w:rPr>
                <w:b/>
                <w:bCs/>
                <w:sz w:val="24"/>
              </w:rPr>
            </w:pPr>
            <w:r>
              <w:rPr>
                <w:b/>
                <w:bCs/>
                <w:sz w:val="24"/>
              </w:rPr>
              <w:t>P3 - 低</w:t>
            </w:r>
          </w:p>
        </w:tc>
        <w:tc>
          <w:tcPr>
            <w:tcW w:w="2051" w:type="dxa"/>
          </w:tcPr>
          <w:p w14:paraId="6E59D234">
            <w:pPr>
              <w:spacing w:line="360" w:lineRule="auto"/>
              <w:jc w:val="center"/>
              <w:rPr>
                <w:sz w:val="24"/>
              </w:rPr>
            </w:pPr>
            <w:r>
              <w:rPr>
                <w:sz w:val="24"/>
              </w:rPr>
              <w:t>优化建议与咨询</w:t>
            </w:r>
          </w:p>
          <w:p w14:paraId="06E1FA6D">
            <w:pPr>
              <w:spacing w:line="360" w:lineRule="auto"/>
              <w:jc w:val="center"/>
              <w:rPr>
                <w:sz w:val="24"/>
              </w:rPr>
            </w:pPr>
            <w:r>
              <w:rPr>
                <w:sz w:val="24"/>
              </w:rPr>
              <w:t>• 功能增强需求</w:t>
            </w:r>
          </w:p>
          <w:p w14:paraId="2650D06F">
            <w:pPr>
              <w:spacing w:line="360" w:lineRule="auto"/>
              <w:jc w:val="center"/>
              <w:rPr>
                <w:sz w:val="24"/>
              </w:rPr>
            </w:pPr>
            <w:r>
              <w:rPr>
                <w:sz w:val="24"/>
              </w:rPr>
              <w:t>• 使用培训咨询</w:t>
            </w:r>
          </w:p>
          <w:p w14:paraId="05590BF1">
            <w:pPr>
              <w:spacing w:line="360" w:lineRule="auto"/>
              <w:jc w:val="center"/>
              <w:rPr>
                <w:sz w:val="24"/>
              </w:rPr>
            </w:pPr>
            <w:r>
              <w:rPr>
                <w:sz w:val="24"/>
              </w:rPr>
              <w:t>• 文档查阅协助</w:t>
            </w:r>
          </w:p>
        </w:tc>
        <w:tc>
          <w:tcPr>
            <w:tcW w:w="1288" w:type="dxa"/>
          </w:tcPr>
          <w:p w14:paraId="442BD951">
            <w:pPr>
              <w:spacing w:line="360" w:lineRule="auto"/>
              <w:jc w:val="center"/>
              <w:rPr>
                <w:sz w:val="24"/>
              </w:rPr>
            </w:pPr>
            <w:r>
              <w:rPr>
                <w:sz w:val="24"/>
              </w:rPr>
              <w:t>≤4小时</w:t>
            </w:r>
          </w:p>
        </w:tc>
        <w:tc>
          <w:tcPr>
            <w:tcW w:w="1220" w:type="dxa"/>
          </w:tcPr>
          <w:p w14:paraId="613CDE2D">
            <w:pPr>
              <w:spacing w:line="360" w:lineRule="auto"/>
              <w:jc w:val="center"/>
              <w:rPr>
                <w:sz w:val="24"/>
              </w:rPr>
            </w:pPr>
            <w:r>
              <w:rPr>
                <w:sz w:val="24"/>
              </w:rPr>
              <w:t>按需约定</w:t>
            </w:r>
          </w:p>
        </w:tc>
        <w:tc>
          <w:tcPr>
            <w:tcW w:w="1302" w:type="dxa"/>
          </w:tcPr>
          <w:p w14:paraId="772457CF">
            <w:pPr>
              <w:spacing w:line="360" w:lineRule="auto"/>
              <w:jc w:val="center"/>
              <w:rPr>
                <w:sz w:val="24"/>
              </w:rPr>
            </w:pPr>
            <w:r>
              <w:rPr>
                <w:sz w:val="24"/>
              </w:rPr>
              <w:t>客服/线上知识库 → 技术支持团队记录与跟进</w:t>
            </w:r>
          </w:p>
        </w:tc>
        <w:tc>
          <w:tcPr>
            <w:tcW w:w="1421" w:type="dxa"/>
          </w:tcPr>
          <w:p w14:paraId="48499CE1">
            <w:pPr>
              <w:spacing w:line="360" w:lineRule="auto"/>
              <w:jc w:val="center"/>
              <w:rPr>
                <w:sz w:val="24"/>
              </w:rPr>
            </w:pPr>
            <w:r>
              <w:rPr>
                <w:sz w:val="24"/>
              </w:rPr>
              <w:t>纳入需求池，在季度服务回顾会上统一讨论评估</w:t>
            </w:r>
          </w:p>
        </w:tc>
      </w:tr>
    </w:tbl>
    <w:p w14:paraId="63FB17E2">
      <w:pPr>
        <w:spacing w:line="360" w:lineRule="auto"/>
        <w:jc w:val="center"/>
        <w:rPr>
          <w:sz w:val="24"/>
        </w:rPr>
      </w:pPr>
    </w:p>
    <w:p w14:paraId="32D01C15">
      <w:pPr>
        <w:numPr>
          <w:ilvl w:val="2"/>
          <w:numId w:val="1"/>
        </w:numPr>
        <w:spacing w:line="360" w:lineRule="auto"/>
        <w:outlineLvl w:val="2"/>
        <w:rPr>
          <w:b/>
          <w:bCs/>
          <w:sz w:val="28"/>
          <w:szCs w:val="28"/>
        </w:rPr>
      </w:pPr>
      <w:bookmarkStart w:id="20" w:name="_Toc221113245"/>
      <w:r>
        <w:rPr>
          <w:b/>
          <w:bCs/>
          <w:sz w:val="28"/>
          <w:szCs w:val="28"/>
        </w:rPr>
        <w:t>实现从“系统交付”到“内部能力赋能”的根本性转变</w:t>
      </w:r>
      <w:bookmarkEnd w:id="20"/>
    </w:p>
    <w:p w14:paraId="74D22971">
      <w:pPr>
        <w:spacing w:line="360" w:lineRule="auto"/>
        <w:rPr>
          <w:sz w:val="24"/>
        </w:rPr>
      </w:pPr>
    </w:p>
    <w:p w14:paraId="3D8CCFC2">
      <w:pPr>
        <w:spacing w:line="360" w:lineRule="auto"/>
        <w:ind w:firstLine="480" w:firstLineChars="200"/>
        <w:rPr>
          <w:sz w:val="24"/>
        </w:rPr>
      </w:pPr>
      <w:r>
        <w:rPr>
          <w:sz w:val="24"/>
        </w:rPr>
        <w:t>项目的终极成功标志，在于平台交付后，校方团队能否从“使用者”成长为“管理者”、“配置者”乃至“创造者”。如何确保在三年服务期内，有效完成知识转移，激发校内创新，形成自我驱动、持续演进的数字化生态，是本项目最深层次也是最具挑战性的管理性与文化性难点。</w:t>
      </w:r>
    </w:p>
    <w:p w14:paraId="5E0B1B1E">
      <w:pPr>
        <w:spacing w:line="360" w:lineRule="auto"/>
        <w:ind w:firstLine="480" w:firstLineChars="200"/>
        <w:rPr>
          <w:sz w:val="24"/>
        </w:rPr>
      </w:pPr>
    </w:p>
    <w:p w14:paraId="6B1C3F56">
      <w:pPr>
        <w:spacing w:line="360" w:lineRule="auto"/>
        <w:ind w:firstLine="482" w:firstLineChars="200"/>
        <w:rPr>
          <w:b/>
          <w:bCs/>
          <w:sz w:val="24"/>
        </w:rPr>
      </w:pPr>
      <w:r>
        <w:rPr>
          <w:b/>
          <w:bCs/>
          <w:sz w:val="24"/>
        </w:rPr>
        <w:t>一体化应对策略：设计“阶梯式、场景化、伴跑式”的赋能体系，并辅以可持续的生态孵化机制。</w:t>
      </w:r>
    </w:p>
    <w:p w14:paraId="35B6C698">
      <w:pPr>
        <w:spacing w:line="360" w:lineRule="auto"/>
        <w:ind w:firstLine="480" w:firstLineChars="200"/>
        <w:rPr>
          <w:sz w:val="24"/>
        </w:rPr>
      </w:pPr>
      <w:r>
        <w:rPr>
          <w:sz w:val="24"/>
        </w:rPr>
        <w:t>我们深刻理解，赋能的核心在于“学以致用”。因此，培训将严格遵循 “分角色、按阶段、围绕真实业务场景” 的原则展开。对于系统管理员，培训重点在于平台底层架构、日常监控、故障排查及安全策略，确保其能独立承担基础运维。对于业务骨干与教师（各院系、教务处、招就处等），培训则聚焦于“低代码开发能力”的培养。我们将以“AI问数”应用的开发过程为蓝本，开设系列工作坊，指导他们如何利用平台的拖拽式工作流引擎，将“产业人才数据”与“校本学生数据”结合，快速搭建诸如“专业竞争力动态分析仪表盘”或“个性化实习岗位智能推荐”等实用工具。</w:t>
      </w:r>
    </w:p>
    <w:p w14:paraId="3FED94E7">
      <w:pPr>
        <w:spacing w:line="360" w:lineRule="auto"/>
        <w:ind w:firstLine="480" w:firstLineChars="200"/>
        <w:rPr>
          <w:sz w:val="24"/>
        </w:rPr>
      </w:pPr>
    </w:p>
    <w:p w14:paraId="18763A09">
      <w:pPr>
        <w:spacing w:line="360" w:lineRule="auto"/>
        <w:ind w:firstLine="480" w:firstLineChars="200"/>
        <w:rPr>
          <w:sz w:val="24"/>
        </w:rPr>
      </w:pPr>
      <w:r>
        <w:rPr>
          <w:rFonts w:hint="eastAsia"/>
          <w:sz w:val="24"/>
        </w:rPr>
        <w:t>更重要的是，我们将协助学校建立长效的校内创新激励社区与最佳实践案例库。平台上线后，我们将持续运营线上知识共享社区，定期发布进阶教程、技巧分享与答疑；同时，建议并协助学校组织“智能应用创新大赛”或“月度创新案例评选”等活动，鼓励各部门展示基于平台开发的应用成果。我们将协助校方将优秀的自建应用转化为可复用的模板或组件，沉淀入平台的资产库，形成“创新-分享-复用-再创新”的良性循环。我们交付的不仅是系统本身，更是一个包含详尽操作手册、视频教程、常见问题库、典型应用案例源码的“赋能资产包”，以及为期三年、随时可问的技术顾问服务通道。这种“授人以渔”加上“长期伴跑”的模式，旨在真正实现从“我建造”到“您拥有”再到“您创造”的伙伴式共同成长。当各二级学院、职能部门都能基于这个开放、易用的“乐高底座”，创造性地搭建出解决自身独特业务挑战的“智能积木”时，一个富有内生动力的数字化创新生态便真正在校园内扎根生长。至此，平台才完全蜕变为学校自身数字能力的一部分，成为支撑其应对未来教育变革、持续培育创新人才的强大引擎，从而实现本项目价值的终极升华与可持续发展。</w:t>
      </w:r>
    </w:p>
    <w:p w14:paraId="0A9D3620">
      <w:pPr>
        <w:spacing w:line="360" w:lineRule="auto"/>
        <w:rPr>
          <w:sz w:val="24"/>
        </w:rPr>
      </w:pPr>
    </w:p>
    <w:p w14:paraId="4C322EB5">
      <w:pPr>
        <w:spacing w:line="360" w:lineRule="auto"/>
        <w:ind w:firstLine="480" w:firstLineChars="200"/>
        <w:rPr>
          <w:sz w:val="24"/>
        </w:rPr>
      </w:pPr>
      <w:r>
        <w:rPr>
          <w:sz w:val="24"/>
        </w:rPr>
        <w:t>总结而言，我们对项目重难点的认知与应对，始终围绕着“技术可靠、服务可信、赋能可期”的核心原则。 通过上述三位一体的策略，我们不仅承诺交付一个符合所有技术指标的AI平台，更致力于确保该平台能安全融入学校现有生态、长期稳定支撑业务发展，并最终成功转化为常州工程职业技术学院内生的、蓬勃发展的数字智能创新能力，共同迎接教育数字化转型的深刻变革。</w:t>
      </w:r>
    </w:p>
    <w:p w14:paraId="3C36C1BA">
      <w:pPr>
        <w:spacing w:line="360" w:lineRule="auto"/>
        <w:ind w:firstLine="480" w:firstLineChars="200"/>
        <w:rPr>
          <w:sz w:val="24"/>
        </w:rPr>
      </w:pPr>
    </w:p>
    <w:p w14:paraId="1BB2CC99">
      <w:pPr>
        <w:spacing w:line="360" w:lineRule="auto"/>
        <w:ind w:firstLine="480" w:firstLineChars="200"/>
        <w:rPr>
          <w:sz w:val="24"/>
        </w:rPr>
      </w:pPr>
    </w:p>
    <w:p w14:paraId="355FBCC2">
      <w:pPr>
        <w:spacing w:line="360" w:lineRule="auto"/>
        <w:ind w:firstLine="480" w:firstLineChars="200"/>
        <w:rPr>
          <w:sz w:val="24"/>
        </w:rPr>
      </w:pPr>
    </w:p>
    <w:p w14:paraId="34D93AA4">
      <w:pPr>
        <w:spacing w:line="360" w:lineRule="auto"/>
        <w:ind w:firstLine="480" w:firstLineChars="200"/>
        <w:rPr>
          <w:sz w:val="24"/>
        </w:rPr>
      </w:pPr>
    </w:p>
    <w:p w14:paraId="0CAB6918">
      <w:pPr>
        <w:spacing w:line="360" w:lineRule="auto"/>
        <w:ind w:firstLine="480" w:firstLineChars="200"/>
        <w:rPr>
          <w:sz w:val="24"/>
        </w:rPr>
      </w:pPr>
    </w:p>
    <w:p w14:paraId="26EB6415">
      <w:pPr>
        <w:spacing w:line="360" w:lineRule="auto"/>
        <w:ind w:firstLine="480" w:firstLineChars="200"/>
        <w:rPr>
          <w:sz w:val="24"/>
        </w:rPr>
      </w:pPr>
    </w:p>
    <w:p w14:paraId="2F6B5378">
      <w:pPr>
        <w:spacing w:line="360" w:lineRule="auto"/>
        <w:ind w:firstLine="480" w:firstLineChars="200"/>
        <w:rPr>
          <w:sz w:val="24"/>
        </w:rPr>
      </w:pPr>
    </w:p>
    <w:p w14:paraId="436DF444">
      <w:pPr>
        <w:spacing w:line="360" w:lineRule="auto"/>
        <w:ind w:firstLine="480" w:firstLineChars="200"/>
        <w:rPr>
          <w:sz w:val="24"/>
        </w:rPr>
      </w:pPr>
    </w:p>
    <w:p w14:paraId="6C40AE17">
      <w:pPr>
        <w:spacing w:line="360" w:lineRule="auto"/>
        <w:ind w:firstLine="480" w:firstLineChars="200"/>
        <w:rPr>
          <w:sz w:val="24"/>
        </w:rPr>
      </w:pPr>
    </w:p>
    <w:p w14:paraId="7E77AF1C">
      <w:pPr>
        <w:numPr>
          <w:ilvl w:val="0"/>
          <w:numId w:val="1"/>
        </w:numPr>
        <w:spacing w:line="360" w:lineRule="auto"/>
        <w:outlineLvl w:val="0"/>
        <w:rPr>
          <w:b/>
          <w:bCs/>
          <w:sz w:val="32"/>
          <w:szCs w:val="32"/>
        </w:rPr>
      </w:pPr>
      <w:bookmarkStart w:id="21" w:name="_Toc221113246"/>
      <w:r>
        <w:rPr>
          <w:rFonts w:hint="eastAsia"/>
          <w:b/>
          <w:bCs/>
          <w:sz w:val="32"/>
          <w:szCs w:val="32"/>
        </w:rPr>
        <w:t>项目总体规划设计</w:t>
      </w:r>
      <w:bookmarkEnd w:id="21"/>
    </w:p>
    <w:p w14:paraId="5085CDFE">
      <w:pPr>
        <w:pBdr>
          <w:top w:val="single" w:color="auto" w:sz="4" w:space="0"/>
          <w:left w:val="single" w:color="auto" w:sz="4" w:space="0"/>
          <w:bottom w:val="single" w:color="auto" w:sz="4" w:space="0"/>
          <w:right w:val="single" w:color="auto" w:sz="4" w:space="0"/>
        </w:pBdr>
        <w:spacing w:line="360" w:lineRule="auto"/>
        <w:ind w:firstLine="482" w:firstLineChars="200"/>
        <w:rPr>
          <w:b/>
          <w:bCs/>
          <w:sz w:val="24"/>
        </w:rPr>
      </w:pPr>
      <w:r>
        <w:rPr>
          <w:rFonts w:hint="eastAsia"/>
          <w:b/>
          <w:bCs/>
          <w:sz w:val="24"/>
        </w:rPr>
        <w:t>本章节重点阐述项目总体规划设计，包含总体设计规划方案，在总体架构、设计思路、建设内容等。</w:t>
      </w:r>
    </w:p>
    <w:p w14:paraId="383C56D3">
      <w:pPr>
        <w:spacing w:line="360" w:lineRule="auto"/>
        <w:rPr>
          <w:sz w:val="24"/>
        </w:rPr>
      </w:pPr>
    </w:p>
    <w:p w14:paraId="7DDBB66A">
      <w:pPr>
        <w:numPr>
          <w:ilvl w:val="1"/>
          <w:numId w:val="1"/>
        </w:numPr>
        <w:spacing w:line="360" w:lineRule="auto"/>
        <w:outlineLvl w:val="1"/>
        <w:rPr>
          <w:b/>
          <w:bCs/>
          <w:sz w:val="30"/>
          <w:szCs w:val="30"/>
        </w:rPr>
      </w:pPr>
      <w:bookmarkStart w:id="22" w:name="_Toc221113247"/>
      <w:r>
        <w:rPr>
          <w:b/>
          <w:bCs/>
          <w:sz w:val="30"/>
          <w:szCs w:val="30"/>
        </w:rPr>
        <w:t>总体设计原则与思路</w:t>
      </w:r>
      <w:bookmarkEnd w:id="22"/>
    </w:p>
    <w:p w14:paraId="70F1F192">
      <w:pPr>
        <w:spacing w:line="360" w:lineRule="auto"/>
        <w:rPr>
          <w:sz w:val="24"/>
        </w:rPr>
      </w:pPr>
    </w:p>
    <w:p w14:paraId="0CCD71FE">
      <w:pPr>
        <w:spacing w:line="360" w:lineRule="auto"/>
        <w:ind w:firstLine="420" w:firstLineChars="200"/>
        <w:rPr>
          <w:sz w:val="24"/>
        </w:rPr>
      </w:pPr>
      <w:r>
        <w:drawing>
          <wp:anchor distT="0" distB="0" distL="114300" distR="114300" simplePos="0" relativeHeight="251665408" behindDoc="0" locked="0" layoutInCell="1" allowOverlap="1">
            <wp:simplePos x="0" y="0"/>
            <wp:positionH relativeFrom="column">
              <wp:posOffset>-186690</wp:posOffset>
            </wp:positionH>
            <wp:positionV relativeFrom="paragraph">
              <wp:posOffset>1991995</wp:posOffset>
            </wp:positionV>
            <wp:extent cx="5692775" cy="2446020"/>
            <wp:effectExtent l="133350" t="114300" r="136525" b="163830"/>
            <wp:wrapSquare wrapText="bothSides"/>
            <wp:docPr id="2358075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807560" name="图片 1"/>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92775" cy="2446020"/>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sz w:val="24"/>
        </w:rPr>
        <w:t>本平台的总体设计承载着常州工程职业技术学院教育数字化转型的战略使命，旨在构建一个技术领先、安全可控、持续演进且能真正赋能教学、科研与管理的智能基础设施</w:t>
      </w:r>
      <w:r>
        <w:rPr>
          <w:rFonts w:hint="eastAsia"/>
          <w:sz w:val="24"/>
        </w:rPr>
        <w:t>，其总体设计原则与思路如图13所示</w:t>
      </w:r>
      <w:r>
        <w:rPr>
          <w:sz w:val="24"/>
        </w:rPr>
        <w:t>。我们的核心设计理念，是以“标准化数据”为基础原料，以“开源AI能力”为核心引擎，通过“可视化低代码”的民主化开发范式，实现对智能应用“全链路可观测”的精细化运营，最终形成一个松耦合、可编排、服务化的开放式创新平台。</w:t>
      </w:r>
    </w:p>
    <w:p w14:paraId="409ACBCE">
      <w:pPr>
        <w:pStyle w:val="2"/>
        <w:spacing w:line="360" w:lineRule="auto"/>
        <w:jc w:val="center"/>
        <w:rPr>
          <w:rFonts w:asciiTheme="minorHAnsi" w:hAnsiTheme="minorHAnsi" w:eastAsiaTheme="minorEastAsia"/>
          <w:b/>
          <w:bCs/>
          <w:sz w:val="21"/>
        </w:rPr>
      </w:pPr>
      <w:r>
        <w:rPr>
          <w:rFonts w:hint="eastAsia" w:asciiTheme="minorHAnsi" w:hAnsiTheme="minorHAnsi" w:eastAsiaTheme="minorEastAsia"/>
          <w:b/>
          <w:bCs/>
          <w:sz w:val="21"/>
        </w:rPr>
        <w:t>图13 总体设计原则与思路</w:t>
      </w:r>
    </w:p>
    <w:p w14:paraId="0D896FF6">
      <w:pPr>
        <w:spacing w:line="360" w:lineRule="auto"/>
        <w:rPr>
          <w:sz w:val="24"/>
        </w:rPr>
      </w:pPr>
    </w:p>
    <w:p w14:paraId="6C98E6D6">
      <w:pPr>
        <w:spacing w:line="360" w:lineRule="auto"/>
        <w:ind w:firstLine="480" w:firstLineChars="200"/>
        <w:rPr>
          <w:sz w:val="24"/>
        </w:rPr>
      </w:pPr>
      <w:r>
        <w:rPr>
          <w:sz w:val="24"/>
        </w:rPr>
        <w:t>在设计原则层面，我们严格遵循开源优先策略，确保技术栈的完全可审计、可修改和无知识产权风险。平台的先进性体现在对成熟开源技术的深度集成：后端核心采用Spring Cloud微服务架构，基于Spring Boot 3.x和Spring Cloud 2023.x构建，这是目前全球最主流的开源微服务框架；数据存储层面，关系型数据库采用PostgreSQL（其强大的JSONB类型和对空间数据的支持非常适合处理半结构化业务数据），替代商业数据库方案；非结构化知识数据则采用Apache Solr实现全文检索，并结合Milvus向量数据库进行语义向量检索，这两者均为Apache顶级开源项目。前端采用Vue 3 + TypeScript + Element Plus构建，这些MIT/Apache 2.0许可的前端框架确保了商业使用的安全性。在可扩展性设计上，我们采用完整的Kubernetes云原生技术栈，所有微服务均封装为Docker容器，通过K3s（轻量级Kubernetes发行版）进行编排管理，实现服务的弹性伸缩和高可用部署。平台定义了清晰的API网关（基于Apache APISIX） 和服务网格（基于Linkerd） 架构，均为CNCF毕业项目，确保企业级稳定性和社区支持。安全性设计采用开源安全生态：在网络层面，通过Linkerd的自动mTLS实现服务间零信任通信；在应用层面，采用Keycloak（开源身份和访问管理解决方案）提供OAuth 2.0/OIDC认证，与学校统一身份认证系统对接；数据加密采用OpenSSL的国密算法实现，所有安全组件均可自主可控。易用性通过开源可视化框架实现：数据开发层基于Apache Hop（原Pentaho Data Integration）构建可视化数据管道；AI工作流编辑器采用React Flow（MIT许可）和Node-RED（Apache 2.0）混合架构，提供工业级的可视化编程体验。标准化与开放性体现在对OpenAPI 3.0规范的严格遵守，并采用Swagger UI自动生成API文档；数据模型遵循Schema.org的教育扩展词汇表，确保语义互操作性。</w:t>
      </w:r>
    </w:p>
    <w:p w14:paraId="40DCA1F8">
      <w:pPr>
        <w:spacing w:line="360" w:lineRule="auto"/>
        <w:ind w:firstLine="480" w:firstLineChars="200"/>
        <w:rPr>
          <w:sz w:val="24"/>
        </w:rPr>
      </w:pPr>
    </w:p>
    <w:p w14:paraId="6B3E753E">
      <w:pPr>
        <w:spacing w:line="360" w:lineRule="auto"/>
        <w:ind w:firstLine="480" w:firstLineChars="200"/>
        <w:rPr>
          <w:sz w:val="24"/>
        </w:rPr>
      </w:pPr>
      <w:r>
        <w:rPr>
          <w:sz w:val="24"/>
        </w:rPr>
        <w:t>上述原则共同铸就了平台的核心设计思路。首先，“数据驱动” 通过构建完全开源的数据湖仓一体架构实现。平台将学校的校本数据中心作为权威数据源，采用Apache SeaTunnel作为统一的数据集成框架，支持从MySQL、PostgreSQL、API接口、文件系统等数十种数据源进行批流一体的数据抽取。数据处理层采用Apache Flink实现实时数据流处理，结合Apache Iceberg作为开放表格式，在MinIO（S3兼容的开源对象存储）上构建可追溯、可演化的数据湖。元数据管理基于Apache Atlas构建，实现数据血缘的自动追溯。数据质量管理采用Great Expectations开源框架，建立数据质量检查规则。这个过程将原始数据转化为可直接服务于AI场景的标准化数据资产。下图</w:t>
      </w:r>
      <w:r>
        <w:rPr>
          <w:rFonts w:hint="eastAsia"/>
          <w:sz w:val="24"/>
        </w:rPr>
        <w:t>14</w:t>
      </w:r>
      <w:r>
        <w:rPr>
          <w:sz w:val="24"/>
        </w:rPr>
        <w:t>展示了基于开源技术栈的完整数据处理流水线</w:t>
      </w:r>
      <w:r>
        <w:rPr>
          <w:rFonts w:hint="eastAsia"/>
          <w:sz w:val="24"/>
        </w:rPr>
        <w:t>。</w:t>
      </w:r>
    </w:p>
    <w:p w14:paraId="5624B6AB">
      <w:pPr>
        <w:spacing w:line="360" w:lineRule="auto"/>
        <w:rPr>
          <w:sz w:val="24"/>
        </w:rPr>
      </w:pPr>
    </w:p>
    <w:p w14:paraId="5980B4BB">
      <w:pPr>
        <w:spacing w:line="360" w:lineRule="auto"/>
        <w:jc w:val="center"/>
        <w:rPr>
          <w:sz w:val="24"/>
        </w:rPr>
      </w:pPr>
      <w:r>
        <w:rPr>
          <w:sz w:val="24"/>
        </w:rPr>
        <w:drawing>
          <wp:inline distT="0" distB="0" distL="114300" distR="114300">
            <wp:extent cx="5165725" cy="8470900"/>
            <wp:effectExtent l="0" t="0" r="0" b="6350"/>
            <wp:docPr id="12" name="图片 12"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2.1"/>
                    <pic:cNvPicPr>
                      <a:picLocks noChangeAspect="1"/>
                    </pic:cNvPicPr>
                  </pic:nvPicPr>
                  <pic:blipFill>
                    <a:blip r:embed="rId18"/>
                    <a:stretch>
                      <a:fillRect/>
                    </a:stretch>
                  </pic:blipFill>
                  <pic:spPr>
                    <a:xfrm>
                      <a:off x="0" y="0"/>
                      <a:ext cx="5167237" cy="8473567"/>
                    </a:xfrm>
                    <a:prstGeom prst="rect">
                      <a:avLst/>
                    </a:prstGeom>
                  </pic:spPr>
                </pic:pic>
              </a:graphicData>
            </a:graphic>
          </wp:inline>
        </w:drawing>
      </w:r>
    </w:p>
    <w:p w14:paraId="39A25861">
      <w:pPr>
        <w:pStyle w:val="2"/>
        <w:spacing w:line="360" w:lineRule="auto"/>
        <w:jc w:val="center"/>
        <w:rPr>
          <w:rFonts w:asciiTheme="minorHAnsi" w:hAnsiTheme="minorHAnsi" w:eastAsiaTheme="minorEastAsia"/>
          <w:b/>
          <w:bCs/>
          <w:sz w:val="21"/>
        </w:rPr>
      </w:pPr>
      <w:r>
        <w:rPr>
          <w:rFonts w:hint="eastAsia" w:asciiTheme="minorHAnsi" w:hAnsiTheme="minorHAnsi" w:eastAsiaTheme="minorEastAsia"/>
          <w:b/>
          <w:bCs/>
          <w:sz w:val="21"/>
        </w:rPr>
        <w:t>图14 基于开源技术栈的完整数据处理流水线</w:t>
      </w:r>
    </w:p>
    <w:p w14:paraId="2425510A">
      <w:pPr>
        <w:spacing w:line="360" w:lineRule="auto"/>
        <w:ind w:firstLine="480" w:firstLineChars="200"/>
        <w:rPr>
          <w:sz w:val="24"/>
        </w:rPr>
      </w:pPr>
      <w:r>
        <w:rPr>
          <w:rFonts w:hint="eastAsia"/>
          <w:sz w:val="24"/>
        </w:rPr>
        <w:t>在坚实的数据基底之上，“AI赋能” 通过构建开源AI能力平台实现。平台采用ModelOps理念管理AI模型全生命周期：大语言模型服务层通过Triton Inference Server（NVIDIA开源）或vLLM（BSD许可）作为推理引擎，支持挂载Qwen、ChatGLM、Baichuan等完全开源的大语言模型，通过Apache APISIX的智能路由实现模型调度。机器学习算法服务基于MLflow构建模型仓库和管理平台，算法实现采用Scikit-learn、XGBoost等成熟开源库。知识图谱引擎采用JanusGraph（Apache 2.0）图数据库，通过Gremlin查询语言提供服务。核心的可视化工作流引擎基于Apache Airflow（工作流编排）和Node-RED（可视化设计）的融合架构，为AI流水线提供完整的生命周期管理。</w:t>
      </w:r>
    </w:p>
    <w:p w14:paraId="46A2B144">
      <w:pPr>
        <w:spacing w:line="360" w:lineRule="auto"/>
        <w:ind w:firstLine="480" w:firstLineChars="200"/>
        <w:rPr>
          <w:sz w:val="24"/>
        </w:rPr>
      </w:pPr>
    </w:p>
    <w:p w14:paraId="6A77663A">
      <w:pPr>
        <w:spacing w:line="360" w:lineRule="auto"/>
        <w:ind w:firstLine="480" w:firstLineChars="200"/>
        <w:rPr>
          <w:sz w:val="24"/>
        </w:rPr>
      </w:pPr>
      <w:r>
        <w:rPr>
          <w:rFonts w:hint="eastAsia"/>
          <w:sz w:val="24"/>
        </w:rPr>
        <w:t>“低码开发” 能力通过开源DSL引擎与可视化框架实现。平台定义了基于JSON Schema的应用配置规范，这是一种完全开放的声明式配置格式。在此基础上，我们构建了开源的可视化设计体系：智能问答设计器基于Monaco Editor提供提示词编辑和变量管理；工作流设计器采用React Flow + Node-RED的双引擎架构，既支持专业级的节点编程，也提供简单易用的流程设计；应用界面设计器基于Vue Formulate（MIT许可）的表单生成器，结合Quasar Framework的组件库，实现快速界面构建。后端服务生成基于Spring Initializr的定制化模板，自动生成符合微服务规范的Java代码。下图15展示了基于开源技术栈的完整应用开发生命周期。</w:t>
      </w:r>
    </w:p>
    <w:p w14:paraId="0199A7D3">
      <w:pPr>
        <w:spacing w:line="360" w:lineRule="auto"/>
      </w:pPr>
    </w:p>
    <w:p w14:paraId="7EC7FA94">
      <w:pPr>
        <w:spacing w:line="360" w:lineRule="auto"/>
        <w:jc w:val="center"/>
      </w:pPr>
      <w:r>
        <w:rPr>
          <w:rFonts w:hint="eastAsia"/>
        </w:rPr>
        <w:drawing>
          <wp:inline distT="0" distB="0" distL="114300" distR="114300">
            <wp:extent cx="3597275" cy="8510905"/>
            <wp:effectExtent l="0" t="0" r="3175" b="4445"/>
            <wp:docPr id="13" name="图片 13" descr="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2.1-2"/>
                    <pic:cNvPicPr>
                      <a:picLocks noChangeAspect="1"/>
                    </pic:cNvPicPr>
                  </pic:nvPicPr>
                  <pic:blipFill>
                    <a:blip r:embed="rId19"/>
                    <a:stretch>
                      <a:fillRect/>
                    </a:stretch>
                  </pic:blipFill>
                  <pic:spPr>
                    <a:xfrm>
                      <a:off x="0" y="0"/>
                      <a:ext cx="3602528" cy="8522517"/>
                    </a:xfrm>
                    <a:prstGeom prst="rect">
                      <a:avLst/>
                    </a:prstGeom>
                  </pic:spPr>
                </pic:pic>
              </a:graphicData>
            </a:graphic>
          </wp:inline>
        </w:drawing>
      </w:r>
    </w:p>
    <w:p w14:paraId="58E4F10F">
      <w:pPr>
        <w:pStyle w:val="2"/>
        <w:spacing w:line="360" w:lineRule="auto"/>
        <w:ind w:firstLine="422" w:firstLineChars="200"/>
        <w:jc w:val="center"/>
        <w:rPr>
          <w:rFonts w:asciiTheme="minorHAnsi" w:hAnsiTheme="minorHAnsi" w:eastAsiaTheme="minorEastAsia"/>
          <w:b/>
          <w:bCs/>
          <w:sz w:val="21"/>
        </w:rPr>
      </w:pPr>
      <w:r>
        <w:rPr>
          <w:rFonts w:hint="eastAsia" w:asciiTheme="minorHAnsi" w:hAnsiTheme="minorHAnsi" w:eastAsiaTheme="minorEastAsia"/>
          <w:b/>
          <w:bCs/>
          <w:sz w:val="21"/>
        </w:rPr>
        <w:t>图15 基于开源技术栈的完整应用开发生命周期</w:t>
      </w:r>
    </w:p>
    <w:p w14:paraId="6200A40A">
      <w:pPr>
        <w:spacing w:line="360" w:lineRule="auto"/>
        <w:ind w:firstLine="480" w:firstLineChars="200"/>
        <w:rPr>
          <w:sz w:val="24"/>
        </w:rPr>
      </w:pPr>
      <w:r>
        <w:rPr>
          <w:rFonts w:hint="eastAsia"/>
          <w:sz w:val="24"/>
        </w:rPr>
        <w:t>最后，“全链路可观测” 通过构建CNCF可观测性技术栈实现。平台完全基于Cloud Native Computing Foundation的开源项目构建可观测体系：指标监控采用Prometheus + Thanos（长期存储）组合；日志收集采用Loki + Grafana组合；分布式追踪采用Jaeger + OpenTelemetry标准化采集。在此基础上，我们构建了AI专项监控仪表盘：使用Grafana开源仪表板展示知识库检索指标、模型推理延迟、工作流执行状态等关键指标。智能预警基于Prometheus Alertmanager实现，结合Elasticsearch的异常检测功能进行智能告警。所有监控数据通过OpenTelemetry Collector统一采集，形成完整的可观测性数据湖。运维流程采用Backstage（CNCF项目）构建开发者门户，提供统一的应用管理视图。</w:t>
      </w:r>
    </w:p>
    <w:p w14:paraId="4DA1FA6F">
      <w:pPr>
        <w:spacing w:line="360" w:lineRule="auto"/>
        <w:ind w:firstLine="480" w:firstLineChars="200"/>
        <w:rPr>
          <w:sz w:val="24"/>
        </w:rPr>
      </w:pPr>
    </w:p>
    <w:p w14:paraId="5A115641">
      <w:pPr>
        <w:spacing w:line="360" w:lineRule="auto"/>
        <w:ind w:firstLine="480" w:firstLineChars="200"/>
        <w:rPr>
          <w:sz w:val="24"/>
        </w:rPr>
      </w:pPr>
      <w:r>
        <w:rPr>
          <w:rFonts w:hint="eastAsia"/>
          <w:sz w:val="24"/>
        </w:rPr>
        <w:t>在知识产权保障方面，我们建立了严格的开源合规管理体系：</w:t>
      </w:r>
    </w:p>
    <w:p w14:paraId="6626E4F6">
      <w:pPr>
        <w:spacing w:line="360" w:lineRule="auto"/>
        <w:ind w:firstLine="480" w:firstLineChars="200"/>
        <w:rPr>
          <w:sz w:val="24"/>
        </w:rPr>
      </w:pPr>
      <w:r>
        <w:rPr>
          <w:rFonts w:hint="eastAsia"/>
          <w:sz w:val="24"/>
        </w:rPr>
        <w:t>（1）许可证扫描：集成FOSSA或ScanCode工具，对所有依赖进行许可证扫描；</w:t>
      </w:r>
    </w:p>
    <w:p w14:paraId="7D2A9A0A">
      <w:pPr>
        <w:spacing w:line="360" w:lineRule="auto"/>
        <w:ind w:firstLine="480" w:firstLineChars="200"/>
        <w:rPr>
          <w:sz w:val="24"/>
        </w:rPr>
      </w:pPr>
      <w:r>
        <w:rPr>
          <w:rFonts w:hint="eastAsia"/>
          <w:sz w:val="24"/>
        </w:rPr>
        <w:t>（2）合规检查：确保所有组件均为Apache 2.0、MIT、BSD等宽松许可证；</w:t>
      </w:r>
    </w:p>
    <w:p w14:paraId="66646851">
      <w:pPr>
        <w:spacing w:line="360" w:lineRule="auto"/>
        <w:ind w:firstLine="480" w:firstLineChars="200"/>
        <w:rPr>
          <w:sz w:val="24"/>
        </w:rPr>
      </w:pPr>
      <w:r>
        <w:rPr>
          <w:rFonts w:hint="eastAsia"/>
          <w:sz w:val="24"/>
        </w:rPr>
        <w:t>（3）代码审计：定期使用SonarQube进行代码质量与安全扫描；</w:t>
      </w:r>
    </w:p>
    <w:p w14:paraId="3502E0D7">
      <w:pPr>
        <w:spacing w:line="360" w:lineRule="auto"/>
        <w:ind w:firstLine="480" w:firstLineChars="200"/>
        <w:rPr>
          <w:sz w:val="24"/>
        </w:rPr>
      </w:pPr>
      <w:r>
        <w:rPr>
          <w:rFonts w:hint="eastAsia"/>
          <w:sz w:val="24"/>
        </w:rPr>
        <w:t>（4）依赖管理：通过Renovate Bot自动更新依赖，确保安全补丁及时应用；</w:t>
      </w:r>
    </w:p>
    <w:p w14:paraId="4A7863C8">
      <w:pPr>
        <w:spacing w:line="360" w:lineRule="auto"/>
        <w:ind w:firstLine="480" w:firstLineChars="200"/>
        <w:rPr>
          <w:sz w:val="24"/>
        </w:rPr>
      </w:pPr>
      <w:r>
        <w:rPr>
          <w:rFonts w:hint="eastAsia"/>
          <w:sz w:val="24"/>
        </w:rPr>
        <w:t>（5）贡献者协议：建立开发者原产地证书（DCO） 签署流程，确保代码贡献的合法性.</w:t>
      </w:r>
    </w:p>
    <w:p w14:paraId="0798DB08">
      <w:pPr>
        <w:spacing w:line="360" w:lineRule="auto"/>
        <w:ind w:firstLine="480" w:firstLineChars="200"/>
        <w:rPr>
          <w:sz w:val="24"/>
        </w:rPr>
      </w:pPr>
    </w:p>
    <w:p w14:paraId="0E17808D">
      <w:pPr>
        <w:spacing w:line="360" w:lineRule="auto"/>
        <w:ind w:firstLine="480" w:firstLineChars="200"/>
        <w:rPr>
          <w:sz w:val="24"/>
        </w:rPr>
      </w:pPr>
      <w:r>
        <w:rPr>
          <w:rFonts w:hint="eastAsia"/>
          <w:sz w:val="24"/>
        </w:rPr>
        <w:t>本平台的所有技术组件均选择成熟稳定、社区活跃的开源项目，确保技术栈的长期可持续性。通过开放技术栈 + 标准接口规范 + 完善监控体系的组合，平台不仅避免了商业软件许可风险，更构建了一个可自主掌控、持续演进的智能教育基础设施，为常州工程职业技术学院的数字化转型提供安全可靠的技术基座。</w:t>
      </w:r>
    </w:p>
    <w:p w14:paraId="36AB4F01">
      <w:pPr>
        <w:spacing w:line="360" w:lineRule="auto"/>
        <w:ind w:firstLine="480" w:firstLineChars="200"/>
        <w:rPr>
          <w:sz w:val="24"/>
        </w:rPr>
      </w:pPr>
    </w:p>
    <w:p w14:paraId="6502B287">
      <w:pPr>
        <w:numPr>
          <w:ilvl w:val="1"/>
          <w:numId w:val="1"/>
        </w:numPr>
        <w:spacing w:line="360" w:lineRule="auto"/>
        <w:outlineLvl w:val="1"/>
        <w:rPr>
          <w:b/>
          <w:bCs/>
          <w:sz w:val="30"/>
          <w:szCs w:val="30"/>
        </w:rPr>
      </w:pPr>
      <w:bookmarkStart w:id="23" w:name="_Toc221113248"/>
      <w:r>
        <w:rPr>
          <w:b/>
          <w:bCs/>
          <w:sz w:val="30"/>
          <w:szCs w:val="30"/>
        </w:rPr>
        <w:t>总体架构设计</w:t>
      </w:r>
      <w:bookmarkEnd w:id="23"/>
    </w:p>
    <w:p w14:paraId="3387C4BA">
      <w:pPr>
        <w:spacing w:line="360" w:lineRule="auto"/>
        <w:rPr>
          <w:sz w:val="24"/>
        </w:rPr>
      </w:pPr>
    </w:p>
    <w:p w14:paraId="7A92EBAF">
      <w:pPr>
        <w:spacing w:line="360" w:lineRule="auto"/>
        <w:ind w:firstLine="480" w:firstLineChars="200"/>
        <w:rPr>
          <w:sz w:val="24"/>
        </w:rPr>
      </w:pPr>
      <w:r>
        <w:rPr>
          <w:sz w:val="24"/>
        </w:rPr>
        <w:t>基于“数据驱动、AI赋能、低码开发、全链路可观测”的总体思路，平台采用分层、微服务化、云原生的体系架构，确保系统在技术先进性、扩展性、安全性及易用性方面满足职业院校场景下AI应用快速构建与集成的需求。总体架构</w:t>
      </w:r>
      <w:r>
        <w:rPr>
          <w:rFonts w:hint="eastAsia"/>
          <w:sz w:val="24"/>
        </w:rPr>
        <w:t>如图16所示，</w:t>
      </w:r>
      <w:r>
        <w:rPr>
          <w:sz w:val="24"/>
        </w:rPr>
        <w:t>遵循“厚平台、薄应用”的理念，将核心能力沉淀为可复用、可编排的标准化服务，为上层多样化智能应用提供统一支撑。整个架构自上而下分为六个层次，各层之间通过明确定义的API契约进行解耦，并依托统一的云原生技术底座进行部署与</w:t>
      </w:r>
      <w:r>
        <w:drawing>
          <wp:anchor distT="0" distB="0" distL="114300" distR="114300" simplePos="0" relativeHeight="251666432" behindDoc="0" locked="0" layoutInCell="1" allowOverlap="1">
            <wp:simplePos x="0" y="0"/>
            <wp:positionH relativeFrom="column">
              <wp:posOffset>-125095</wp:posOffset>
            </wp:positionH>
            <wp:positionV relativeFrom="paragraph">
              <wp:posOffset>1320800</wp:posOffset>
            </wp:positionV>
            <wp:extent cx="5509895" cy="2521585"/>
            <wp:effectExtent l="133350" t="114300" r="147955" b="164465"/>
            <wp:wrapSquare wrapText="bothSides"/>
            <wp:docPr id="3845672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567291" name="图片 1"/>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509895" cy="2521585"/>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sz w:val="24"/>
        </w:rPr>
        <w:t>运维。</w:t>
      </w:r>
    </w:p>
    <w:p w14:paraId="716889CA">
      <w:pPr>
        <w:pStyle w:val="2"/>
        <w:spacing w:line="360" w:lineRule="auto"/>
        <w:ind w:firstLine="422" w:firstLineChars="200"/>
        <w:jc w:val="center"/>
        <w:rPr>
          <w:rFonts w:asciiTheme="minorHAnsi" w:hAnsiTheme="minorHAnsi" w:eastAsiaTheme="minorEastAsia"/>
          <w:b/>
          <w:bCs/>
          <w:sz w:val="21"/>
        </w:rPr>
      </w:pPr>
      <w:r>
        <w:rPr>
          <w:rFonts w:hint="eastAsia" w:asciiTheme="minorHAnsi" w:hAnsiTheme="minorHAnsi" w:eastAsiaTheme="minorEastAsia"/>
          <w:b/>
          <w:bCs/>
          <w:sz w:val="21"/>
        </w:rPr>
        <w:t>图16 AI数智集成与开发管理平台 - 六层总体架构图</w:t>
      </w:r>
    </w:p>
    <w:p w14:paraId="527AF5E7">
      <w:pPr>
        <w:spacing w:line="360" w:lineRule="auto"/>
        <w:rPr>
          <w:sz w:val="24"/>
        </w:rPr>
      </w:pPr>
    </w:p>
    <w:p w14:paraId="523891EF">
      <w:pPr>
        <w:numPr>
          <w:ilvl w:val="2"/>
          <w:numId w:val="1"/>
        </w:numPr>
        <w:spacing w:line="360" w:lineRule="auto"/>
        <w:outlineLvl w:val="2"/>
        <w:rPr>
          <w:b/>
          <w:bCs/>
          <w:sz w:val="28"/>
          <w:szCs w:val="28"/>
        </w:rPr>
      </w:pPr>
      <w:bookmarkStart w:id="24" w:name="_Toc221113249"/>
      <w:r>
        <w:rPr>
          <w:rFonts w:hint="eastAsia"/>
          <w:b/>
          <w:bCs/>
          <w:sz w:val="28"/>
          <w:szCs w:val="28"/>
        </w:rPr>
        <w:t>分层架构设计</w:t>
      </w:r>
      <w:bookmarkEnd w:id="24"/>
    </w:p>
    <w:p w14:paraId="5F4350B1"/>
    <w:p w14:paraId="347B9275">
      <w:pPr>
        <w:ind w:firstLine="480" w:firstLineChars="200"/>
        <w:rPr>
          <w:sz w:val="24"/>
        </w:rPr>
      </w:pPr>
      <w:r>
        <w:rPr>
          <w:rFonts w:hint="eastAsia"/>
          <w:sz w:val="24"/>
        </w:rPr>
        <w:t>六层架构总览如图17所示。</w:t>
      </w:r>
    </w:p>
    <w:p w14:paraId="03AE6B86">
      <w:pPr>
        <w:spacing w:line="360" w:lineRule="auto"/>
        <w:jc w:val="center"/>
        <w:rPr>
          <w:sz w:val="24"/>
        </w:rPr>
      </w:pPr>
      <w:r>
        <w:rPr>
          <w:sz w:val="24"/>
        </w:rPr>
        <w:drawing>
          <wp:inline distT="0" distB="0" distL="114300" distR="114300">
            <wp:extent cx="2320290" cy="8418830"/>
            <wp:effectExtent l="0" t="0" r="3810" b="1270"/>
            <wp:docPr id="22" name="图片 22" descr="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2.2.1."/>
                    <pic:cNvPicPr>
                      <a:picLocks noChangeAspect="1"/>
                    </pic:cNvPicPr>
                  </pic:nvPicPr>
                  <pic:blipFill>
                    <a:blip r:embed="rId21"/>
                    <a:stretch>
                      <a:fillRect/>
                    </a:stretch>
                  </pic:blipFill>
                  <pic:spPr>
                    <a:xfrm>
                      <a:off x="0" y="0"/>
                      <a:ext cx="2324497" cy="8434095"/>
                    </a:xfrm>
                    <a:prstGeom prst="rect">
                      <a:avLst/>
                    </a:prstGeom>
                  </pic:spPr>
                </pic:pic>
              </a:graphicData>
            </a:graphic>
          </wp:inline>
        </w:drawing>
      </w:r>
    </w:p>
    <w:p w14:paraId="555F9F10">
      <w:pPr>
        <w:pStyle w:val="2"/>
        <w:spacing w:line="360" w:lineRule="auto"/>
        <w:ind w:firstLine="422" w:firstLineChars="200"/>
        <w:jc w:val="center"/>
        <w:rPr>
          <w:rFonts w:asciiTheme="minorHAnsi" w:hAnsiTheme="minorHAnsi" w:eastAsiaTheme="minorEastAsia"/>
          <w:b/>
          <w:bCs/>
          <w:sz w:val="21"/>
        </w:rPr>
      </w:pPr>
      <w:r>
        <w:rPr>
          <w:rFonts w:hint="eastAsia" w:asciiTheme="minorHAnsi" w:hAnsiTheme="minorHAnsi" w:eastAsiaTheme="minorEastAsia"/>
          <w:b/>
          <w:bCs/>
          <w:sz w:val="21"/>
        </w:rPr>
        <w:t>图17 六层架构总览</w:t>
      </w:r>
    </w:p>
    <w:p w14:paraId="5066092B">
      <w:pPr>
        <w:numPr>
          <w:ilvl w:val="3"/>
          <w:numId w:val="1"/>
        </w:numPr>
        <w:spacing w:line="360" w:lineRule="auto"/>
        <w:outlineLvl w:val="3"/>
        <w:rPr>
          <w:b/>
          <w:bCs/>
          <w:sz w:val="24"/>
        </w:rPr>
      </w:pPr>
      <w:bookmarkStart w:id="25" w:name="_Toc221113250"/>
      <w:r>
        <w:rPr>
          <w:b/>
          <w:bCs/>
          <w:sz w:val="24"/>
        </w:rPr>
        <w:t>基础设施层（IaaS/云原生底座）</w:t>
      </w:r>
      <w:bookmarkEnd w:id="25"/>
    </w:p>
    <w:p w14:paraId="757AA716">
      <w:pPr>
        <w:spacing w:line="360" w:lineRule="auto"/>
        <w:rPr>
          <w:sz w:val="24"/>
        </w:rPr>
      </w:pPr>
    </w:p>
    <w:p w14:paraId="7D68E97B">
      <w:pPr>
        <w:spacing w:line="360" w:lineRule="auto"/>
        <w:ind w:firstLine="480" w:firstLineChars="200"/>
        <w:rPr>
          <w:sz w:val="24"/>
        </w:rPr>
      </w:pPr>
      <w:r>
        <w:rPr>
          <w:rFonts w:hint="eastAsia"/>
          <w:sz w:val="24"/>
        </w:rPr>
        <w:t>本层作为平台的统一算力与存储基石，遵循云原生理念构建，旨在实现资源的敏捷、弹性、标准化供给与全生命周期智能化管理。平台核心采用容器化与微服务架构，所有应用组件、中间件及依赖环境均被封装为轻量级、不可变的Docker镜像，确保开发、测试、生产环境的高度一致性与可移植性。</w:t>
      </w:r>
    </w:p>
    <w:p w14:paraId="3CD20281">
      <w:pPr>
        <w:spacing w:line="360" w:lineRule="auto"/>
        <w:ind w:firstLine="480" w:firstLineChars="200"/>
        <w:rPr>
          <w:sz w:val="24"/>
        </w:rPr>
      </w:pPr>
    </w:p>
    <w:p w14:paraId="5FB6DB37">
      <w:pPr>
        <w:spacing w:line="360" w:lineRule="auto"/>
        <w:ind w:firstLine="480" w:firstLineChars="200"/>
        <w:rPr>
          <w:sz w:val="24"/>
        </w:rPr>
      </w:pPr>
      <w:r>
        <w:rPr>
          <w:rFonts w:hint="eastAsia"/>
          <w:sz w:val="24"/>
        </w:rPr>
        <w:t>1. 容器编排与调度核心</w:t>
      </w:r>
    </w:p>
    <w:p w14:paraId="0504AA58">
      <w:pPr>
        <w:spacing w:line="360" w:lineRule="auto"/>
        <w:ind w:firstLine="480" w:firstLineChars="200"/>
        <w:rPr>
          <w:sz w:val="24"/>
        </w:rPr>
      </w:pPr>
      <w:r>
        <w:rPr>
          <w:rFonts w:hint="eastAsia"/>
          <w:sz w:val="24"/>
        </w:rPr>
        <w:t>采用轻量级Kubernetes发行版K3s作为容器编排引擎，其显著优势在于极简的资源占用与简易部署，同时完整保留了K8s的核心API与功能。平台通过K3s实现：</w:t>
      </w:r>
    </w:p>
    <w:p w14:paraId="1F07B1E3">
      <w:pPr>
        <w:spacing w:line="360" w:lineRule="auto"/>
        <w:ind w:firstLine="480" w:firstLineChars="200"/>
        <w:rPr>
          <w:sz w:val="24"/>
        </w:rPr>
      </w:pPr>
      <w:r>
        <w:rPr>
          <w:rFonts w:hint="eastAsia"/>
          <w:sz w:val="24"/>
        </w:rPr>
        <w:t>（1）智能化调度：基于节点资源请求（requests）、限制（limits）、亲和性（affinity/anti-affinity）策略，实现Pod在混合节点间的优化分布。</w:t>
      </w:r>
    </w:p>
    <w:p w14:paraId="0540029F">
      <w:pPr>
        <w:spacing w:line="360" w:lineRule="auto"/>
        <w:ind w:firstLine="480" w:firstLineChars="200"/>
        <w:rPr>
          <w:sz w:val="24"/>
        </w:rPr>
      </w:pPr>
      <w:r>
        <w:rPr>
          <w:rFonts w:hint="eastAsia"/>
          <w:sz w:val="24"/>
        </w:rPr>
        <w:t>（2）工作负载管理：使用Deployment、StatefulSet、DaemonSet、Job等资源对象，分别管理无状态服务、有状态应用、节点守护进程及批处理任务。</w:t>
      </w:r>
    </w:p>
    <w:p w14:paraId="03B1473C">
      <w:pPr>
        <w:spacing w:line="360" w:lineRule="auto"/>
        <w:ind w:firstLine="480" w:firstLineChars="200"/>
        <w:rPr>
          <w:sz w:val="24"/>
        </w:rPr>
      </w:pPr>
      <w:r>
        <w:rPr>
          <w:rFonts w:hint="eastAsia"/>
          <w:sz w:val="24"/>
        </w:rPr>
        <w:t>（3）服务治理与韧性：内置Service和Ingress提供服务的内部发现与对外暴露，结合Readiness/Liveness探针实现服务健康检测与故障自愈。通过HPA（Horizontal Pod Autoscaler）基于CPU、内存或自定义指标（如QPS）自动触发应用副本数的弹性伸缩。</w:t>
      </w:r>
    </w:p>
    <w:p w14:paraId="4306887C">
      <w:pPr>
        <w:spacing w:line="360" w:lineRule="auto"/>
        <w:ind w:firstLine="480" w:firstLineChars="200"/>
        <w:rPr>
          <w:sz w:val="24"/>
        </w:rPr>
      </w:pPr>
      <w:r>
        <w:rPr>
          <w:rFonts w:hint="eastAsia"/>
          <w:sz w:val="24"/>
        </w:rPr>
        <w:t>（4）安全与配置：依托Secrets和ConfigMap进行敏感信息与配置的集中管理；利用Network Policies实现Pod级别的网络隔离与访问控制。</w:t>
      </w:r>
    </w:p>
    <w:p w14:paraId="6CAEE605">
      <w:pPr>
        <w:spacing w:line="360" w:lineRule="auto"/>
        <w:ind w:firstLine="480" w:firstLineChars="200"/>
        <w:rPr>
          <w:sz w:val="24"/>
        </w:rPr>
      </w:pPr>
    </w:p>
    <w:p w14:paraId="0CBB3A04">
      <w:pPr>
        <w:spacing w:line="360" w:lineRule="auto"/>
        <w:ind w:firstLine="480" w:firstLineChars="200"/>
        <w:rPr>
          <w:sz w:val="24"/>
        </w:rPr>
      </w:pPr>
      <w:r>
        <w:rPr>
          <w:rFonts w:hint="eastAsia"/>
          <w:sz w:val="24"/>
        </w:rPr>
        <w:t>2. 混合云资源统一纳管</w:t>
      </w:r>
    </w:p>
    <w:p w14:paraId="05AD6A06">
      <w:pPr>
        <w:spacing w:line="360" w:lineRule="auto"/>
        <w:ind w:firstLine="480" w:firstLineChars="200"/>
        <w:rPr>
          <w:sz w:val="24"/>
        </w:rPr>
      </w:pPr>
      <w:r>
        <w:rPr>
          <w:rFonts w:hint="eastAsia"/>
          <w:sz w:val="24"/>
        </w:rPr>
        <w:t>平台设计支持混合云部署架构，通过K3s集群可无缝集成并调度异构资源：</w:t>
      </w:r>
    </w:p>
    <w:p w14:paraId="68C90EFE">
      <w:pPr>
        <w:spacing w:line="360" w:lineRule="auto"/>
        <w:ind w:firstLine="480" w:firstLineChars="200"/>
        <w:rPr>
          <w:sz w:val="24"/>
        </w:rPr>
      </w:pPr>
      <w:r>
        <w:rPr>
          <w:rFonts w:hint="eastAsia"/>
          <w:sz w:val="24"/>
        </w:rPr>
        <w:t>（1）计算资源：集群节点可同时包含校内私有化部署的物理服务器/虚拟机，以及公有云（如阿里云ECS、腾讯云CVM）提供的弹性计算实例，包括CPU通用型与GPU加速型实例，满足从常规业务到AI训练/推理的不同算力需求。</w:t>
      </w:r>
    </w:p>
    <w:p w14:paraId="04510390">
      <w:pPr>
        <w:spacing w:line="360" w:lineRule="auto"/>
        <w:ind w:firstLine="480" w:firstLineChars="200"/>
        <w:rPr>
          <w:sz w:val="24"/>
        </w:rPr>
      </w:pPr>
      <w:r>
        <w:rPr>
          <w:rFonts w:hint="eastAsia"/>
          <w:sz w:val="24"/>
        </w:rPr>
        <w:t>（2）存储资源：通过CSI（Container Storage Interface）驱动对接多样化存储后端。对于高性能持久化卷需求（如数据库），可选用本地SSD或云厂商块存储；对于海量非结构化数据（如图片、模型、日志），直接集成阿里云OSS、腾讯云COS等对象存储服务，实现数据的低成本、高可靠存取。</w:t>
      </w:r>
    </w:p>
    <w:p w14:paraId="33026442">
      <w:pPr>
        <w:spacing w:line="360" w:lineRule="auto"/>
        <w:ind w:firstLine="480" w:firstLineChars="200"/>
        <w:rPr>
          <w:sz w:val="24"/>
        </w:rPr>
      </w:pPr>
      <w:r>
        <w:rPr>
          <w:rFonts w:hint="eastAsia"/>
          <w:sz w:val="24"/>
        </w:rPr>
        <w:t>（3）网络统一：通过Overlay网络（如Flannel、Calico）构建跨数据中心的Pod网络平面，确保集群内容器跨云、跨地域的网络互通与策略一致性。</w:t>
      </w:r>
    </w:p>
    <w:p w14:paraId="7DCD139C">
      <w:pPr>
        <w:spacing w:line="360" w:lineRule="auto"/>
        <w:ind w:firstLine="480" w:firstLineChars="200"/>
        <w:rPr>
          <w:sz w:val="24"/>
        </w:rPr>
      </w:pPr>
    </w:p>
    <w:p w14:paraId="3F764D7F">
      <w:pPr>
        <w:spacing w:line="360" w:lineRule="auto"/>
        <w:ind w:firstLine="480" w:firstLineChars="200"/>
        <w:rPr>
          <w:sz w:val="24"/>
        </w:rPr>
      </w:pPr>
      <w:r>
        <w:rPr>
          <w:rFonts w:hint="eastAsia"/>
          <w:sz w:val="24"/>
        </w:rPr>
        <w:t>3. 可观测性与智能运维</w:t>
      </w:r>
    </w:p>
    <w:p w14:paraId="3887C47F">
      <w:pPr>
        <w:spacing w:line="360" w:lineRule="auto"/>
        <w:ind w:firstLine="480" w:firstLineChars="200"/>
        <w:rPr>
          <w:sz w:val="24"/>
        </w:rPr>
      </w:pPr>
      <w:r>
        <w:rPr>
          <w:rFonts w:hint="eastAsia"/>
          <w:sz w:val="24"/>
        </w:rPr>
        <w:t>基于CNCF技术栈构建多层次、一体化的可观测性体系：</w:t>
      </w:r>
    </w:p>
    <w:p w14:paraId="4B8A214A">
      <w:pPr>
        <w:spacing w:line="360" w:lineRule="auto"/>
        <w:ind w:firstLine="480" w:firstLineChars="200"/>
        <w:rPr>
          <w:sz w:val="24"/>
        </w:rPr>
      </w:pPr>
      <w:r>
        <w:rPr>
          <w:rFonts w:hint="eastAsia"/>
          <w:sz w:val="24"/>
        </w:rPr>
        <w:t>（1）指标监控（Metrics）：采用Prometheus作为核心时序数据库与监控系统，通过服务发现自动采集K3s集群、节点、容器及各类应用服务的性能指标（如CPU、内存、网络I/O、请求延迟）。定义丰富的告警规则（AlertRules），并通过Alertmanager进行告警去重、分组及路由至不同通知渠道。</w:t>
      </w:r>
    </w:p>
    <w:p w14:paraId="0D2BF5F8">
      <w:pPr>
        <w:spacing w:line="360" w:lineRule="auto"/>
        <w:ind w:firstLine="480" w:firstLineChars="200"/>
        <w:rPr>
          <w:sz w:val="24"/>
        </w:rPr>
      </w:pPr>
      <w:r>
        <w:rPr>
          <w:rFonts w:hint="eastAsia"/>
          <w:sz w:val="24"/>
        </w:rPr>
        <w:t>（2）可视化与洞察（Visualization）：利用Grafana创建统一的监控仪表盘，动态展示资源利用率、服务性能、业务黄金指标（吞吐量、错误率、延迟）等，支持多维度下钻分析与数据关联。</w:t>
      </w:r>
    </w:p>
    <w:p w14:paraId="6A87D5A7">
      <w:pPr>
        <w:spacing w:line="360" w:lineRule="auto"/>
        <w:ind w:firstLine="480" w:firstLineChars="200"/>
        <w:rPr>
          <w:sz w:val="24"/>
        </w:rPr>
      </w:pPr>
      <w:r>
        <w:rPr>
          <w:rFonts w:hint="eastAsia"/>
          <w:sz w:val="24"/>
        </w:rPr>
        <w:t>（3）日志聚合（Logging）：采用Loki构建轻量级日志平台。所有容器标准输出（stdout/stderr）及节点日志通过Promtail等代理采集并索引至Loki，提供基于标签的高效日志查询与筛选能力，与Grafana深度集成实现指标与日志的联动排查。</w:t>
      </w:r>
    </w:p>
    <w:p w14:paraId="781C4819">
      <w:pPr>
        <w:spacing w:line="360" w:lineRule="auto"/>
        <w:ind w:firstLine="480" w:firstLineChars="200"/>
        <w:rPr>
          <w:sz w:val="24"/>
        </w:rPr>
      </w:pPr>
      <w:r>
        <w:rPr>
          <w:rFonts w:hint="eastAsia"/>
          <w:sz w:val="24"/>
        </w:rPr>
        <w:t>（4）链路追踪（Tracing）：预留接口，可快速集成如Jaeger、SkyWalking等分布式追踪工具，实现对复杂微服务调用链路的完整跟踪与性能剖析。</w:t>
      </w:r>
    </w:p>
    <w:p w14:paraId="7006DE84">
      <w:pPr>
        <w:spacing w:line="360" w:lineRule="auto"/>
        <w:ind w:firstLine="480" w:firstLineChars="200"/>
        <w:rPr>
          <w:sz w:val="24"/>
        </w:rPr>
      </w:pPr>
    </w:p>
    <w:p w14:paraId="52935C79">
      <w:pPr>
        <w:spacing w:line="360" w:lineRule="auto"/>
        <w:ind w:firstLine="480" w:firstLineChars="200"/>
        <w:rPr>
          <w:sz w:val="24"/>
        </w:rPr>
      </w:pPr>
      <w:r>
        <w:rPr>
          <w:rFonts w:hint="eastAsia"/>
          <w:sz w:val="24"/>
        </w:rPr>
        <w:t>4. 持续交付与GitOps</w:t>
      </w:r>
    </w:p>
    <w:p w14:paraId="7A4F64CC">
      <w:pPr>
        <w:spacing w:line="360" w:lineRule="auto"/>
        <w:ind w:firstLine="480" w:firstLineChars="200"/>
        <w:rPr>
          <w:sz w:val="24"/>
        </w:rPr>
      </w:pPr>
      <w:r>
        <w:rPr>
          <w:rFonts w:hint="eastAsia"/>
          <w:sz w:val="24"/>
        </w:rPr>
        <w:t>（1）基础设施即代码（IaC）：集群及应用部署配置文件均采用YAML进行声明式描述，并纳入Git版本控制。</w:t>
      </w:r>
    </w:p>
    <w:p w14:paraId="52DAD3F4">
      <w:pPr>
        <w:spacing w:line="360" w:lineRule="auto"/>
        <w:ind w:firstLine="480" w:firstLineChars="200"/>
        <w:rPr>
          <w:sz w:val="24"/>
        </w:rPr>
      </w:pPr>
      <w:r>
        <w:rPr>
          <w:rFonts w:hint="eastAsia"/>
          <w:sz w:val="24"/>
        </w:rPr>
        <w:t>（2）结合CI/CD工具链（如Jenkins、GitLab CI或Argo CD），可实现容器镜像的自动构建、安全扫描，以及通过GitOps模式自动化、渐进式地将应用变更同步至K3s集群，保障部署过程的可审计、可回滚</w:t>
      </w:r>
      <w:r>
        <w:rPr>
          <w:sz w:val="24"/>
        </w:rPr>
        <w:t>。</w:t>
      </w:r>
    </w:p>
    <w:p w14:paraId="30021C92">
      <w:pPr>
        <w:spacing w:line="360" w:lineRule="auto"/>
        <w:rPr>
          <w:sz w:val="24"/>
        </w:rPr>
      </w:pPr>
    </w:p>
    <w:p w14:paraId="238203A4">
      <w:pPr>
        <w:spacing w:line="360" w:lineRule="auto"/>
        <w:rPr>
          <w:sz w:val="24"/>
        </w:rPr>
      </w:pPr>
    </w:p>
    <w:p w14:paraId="5C0EDA37">
      <w:pPr>
        <w:numPr>
          <w:ilvl w:val="3"/>
          <w:numId w:val="1"/>
        </w:numPr>
        <w:spacing w:line="360" w:lineRule="auto"/>
        <w:outlineLvl w:val="3"/>
        <w:rPr>
          <w:b/>
          <w:bCs/>
          <w:sz w:val="24"/>
        </w:rPr>
      </w:pPr>
      <w:bookmarkStart w:id="26" w:name="_Toc221113251"/>
      <w:r>
        <w:rPr>
          <w:b/>
          <w:bCs/>
          <w:sz w:val="24"/>
        </w:rPr>
        <w:t>数据资源层（统一数据资产中心）</w:t>
      </w:r>
      <w:bookmarkEnd w:id="26"/>
    </w:p>
    <w:p w14:paraId="40D64D44">
      <w:pPr>
        <w:spacing w:line="360" w:lineRule="auto"/>
        <w:rPr>
          <w:sz w:val="24"/>
        </w:rPr>
      </w:pPr>
    </w:p>
    <w:p w14:paraId="785F0902">
      <w:pPr>
        <w:spacing w:line="360" w:lineRule="auto"/>
        <w:ind w:firstLine="480" w:firstLineChars="200"/>
        <w:rPr>
          <w:sz w:val="24"/>
        </w:rPr>
      </w:pPr>
      <w:r>
        <w:rPr>
          <w:sz w:val="24"/>
        </w:rPr>
        <w:t>本层是“数据驱动”理念的核心载体，旨在构建校内权威、标准、高质量的数据资产。它并非简单对接校本数据中心，而是通过一套开源技术栈对其进行增强与治理。数据集成采用Apache SeaTunnel，实现从业务数据库、API、文件等数十种数据源的批流一体化采集。原始数据在数据湖（基于MinIO对象存储与Apache Iceberg表格式）中沉淀，并通过Apache Flink进行实时流处理与清洗。治理后的标准数据资产存储在PostgreSQL（业务数据）与Apache Druid（分析型数据）中。元数据管理由Apache Atlas负责，实现数据血缘的自动化追溯，确保数据来源清晰、过程可查。数据质量管理通过Great Expectations框架实施，其核心流程如下表</w:t>
      </w:r>
      <w:r>
        <w:rPr>
          <w:rFonts w:hint="eastAsia"/>
          <w:sz w:val="24"/>
        </w:rPr>
        <w:t>6</w:t>
      </w:r>
      <w:r>
        <w:rPr>
          <w:sz w:val="24"/>
        </w:rPr>
        <w:t>所示</w:t>
      </w:r>
      <w:r>
        <w:rPr>
          <w:rFonts w:hint="eastAsia"/>
          <w:sz w:val="24"/>
        </w:rPr>
        <w:t>。</w:t>
      </w:r>
    </w:p>
    <w:p w14:paraId="70E993B9">
      <w:pPr>
        <w:pStyle w:val="2"/>
        <w:spacing w:line="360" w:lineRule="auto"/>
        <w:ind w:firstLine="422" w:firstLineChars="200"/>
        <w:jc w:val="center"/>
        <w:rPr>
          <w:rFonts w:asciiTheme="minorHAnsi" w:hAnsiTheme="minorHAnsi" w:eastAsiaTheme="minorEastAsia"/>
          <w:b/>
          <w:bCs/>
          <w:sz w:val="21"/>
        </w:rPr>
      </w:pPr>
      <w:r>
        <w:rPr>
          <w:rFonts w:hint="eastAsia" w:asciiTheme="minorHAnsi" w:hAnsiTheme="minorHAnsi" w:eastAsiaTheme="minorEastAsia"/>
          <w:b/>
          <w:bCs/>
          <w:sz w:val="21"/>
        </w:rPr>
        <w:t>表6 基于规则的数据质量控制与响应机制表</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1847"/>
        <w:gridCol w:w="3126"/>
        <w:gridCol w:w="2131"/>
      </w:tblGrid>
      <w:tr w14:paraId="5E0A43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14:paraId="4BD5261A">
            <w:pPr>
              <w:spacing w:line="360" w:lineRule="auto"/>
              <w:jc w:val="center"/>
              <w:rPr>
                <w:b/>
                <w:bCs/>
                <w:sz w:val="24"/>
              </w:rPr>
            </w:pPr>
            <w:r>
              <w:rPr>
                <w:b/>
                <w:bCs/>
                <w:sz w:val="24"/>
              </w:rPr>
              <w:t>规则类型</w:t>
            </w:r>
          </w:p>
        </w:tc>
        <w:tc>
          <w:tcPr>
            <w:tcW w:w="1847" w:type="dxa"/>
          </w:tcPr>
          <w:p w14:paraId="4B23A410">
            <w:pPr>
              <w:spacing w:line="360" w:lineRule="auto"/>
              <w:jc w:val="center"/>
              <w:rPr>
                <w:b/>
                <w:bCs/>
                <w:sz w:val="24"/>
              </w:rPr>
            </w:pPr>
            <w:r>
              <w:rPr>
                <w:b/>
                <w:bCs/>
                <w:sz w:val="24"/>
              </w:rPr>
              <w:t>校验对象</w:t>
            </w:r>
          </w:p>
        </w:tc>
        <w:tc>
          <w:tcPr>
            <w:tcW w:w="3126" w:type="dxa"/>
          </w:tcPr>
          <w:p w14:paraId="3159D3E1">
            <w:pPr>
              <w:spacing w:line="360" w:lineRule="auto"/>
              <w:jc w:val="center"/>
              <w:rPr>
                <w:b/>
                <w:bCs/>
                <w:sz w:val="24"/>
              </w:rPr>
            </w:pPr>
            <w:r>
              <w:rPr>
                <w:b/>
                <w:bCs/>
                <w:sz w:val="24"/>
              </w:rPr>
              <w:t>校验方法</w:t>
            </w:r>
          </w:p>
        </w:tc>
        <w:tc>
          <w:tcPr>
            <w:tcW w:w="2131" w:type="dxa"/>
          </w:tcPr>
          <w:p w14:paraId="5E221EF3">
            <w:pPr>
              <w:spacing w:line="360" w:lineRule="auto"/>
              <w:jc w:val="center"/>
              <w:rPr>
                <w:b/>
                <w:bCs/>
                <w:sz w:val="24"/>
              </w:rPr>
            </w:pPr>
            <w:r>
              <w:rPr>
                <w:b/>
                <w:bCs/>
                <w:sz w:val="24"/>
              </w:rPr>
              <w:t>异常处理动作</w:t>
            </w:r>
          </w:p>
        </w:tc>
      </w:tr>
      <w:tr w14:paraId="124E19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tcPr>
          <w:p w14:paraId="4AD2C678">
            <w:pPr>
              <w:spacing w:line="360" w:lineRule="auto"/>
              <w:jc w:val="center"/>
              <w:rPr>
                <w:b/>
                <w:bCs/>
                <w:sz w:val="24"/>
              </w:rPr>
            </w:pPr>
            <w:r>
              <w:rPr>
                <w:b/>
                <w:bCs/>
                <w:sz w:val="24"/>
              </w:rPr>
              <w:t>完整性规则</w:t>
            </w:r>
          </w:p>
        </w:tc>
        <w:tc>
          <w:tcPr>
            <w:tcW w:w="1847" w:type="dxa"/>
          </w:tcPr>
          <w:p w14:paraId="1314D126">
            <w:pPr>
              <w:spacing w:line="360" w:lineRule="auto"/>
              <w:jc w:val="center"/>
              <w:rPr>
                <w:sz w:val="24"/>
              </w:rPr>
            </w:pPr>
            <w:r>
              <w:rPr>
                <w:sz w:val="24"/>
              </w:rPr>
              <w:t>学生基础信息表</w:t>
            </w:r>
          </w:p>
        </w:tc>
        <w:tc>
          <w:tcPr>
            <w:tcW w:w="3126" w:type="dxa"/>
          </w:tcPr>
          <w:p w14:paraId="20A85355">
            <w:pPr>
              <w:spacing w:line="360" w:lineRule="auto"/>
              <w:jc w:val="center"/>
              <w:rPr>
                <w:sz w:val="24"/>
              </w:rPr>
            </w:pPr>
            <w:r>
              <w:rPr>
                <w:sz w:val="24"/>
              </w:rPr>
              <w:t>关键字段（学号、姓名）非空率 = 100%</w:t>
            </w:r>
          </w:p>
        </w:tc>
        <w:tc>
          <w:tcPr>
            <w:tcW w:w="2131" w:type="dxa"/>
          </w:tcPr>
          <w:p w14:paraId="7491A404">
            <w:pPr>
              <w:spacing w:line="360" w:lineRule="auto"/>
              <w:jc w:val="center"/>
              <w:rPr>
                <w:sz w:val="24"/>
              </w:rPr>
            </w:pPr>
            <w:r>
              <w:rPr>
                <w:sz w:val="24"/>
              </w:rPr>
              <w:t>告警并暂停下游消费</w:t>
            </w:r>
          </w:p>
        </w:tc>
      </w:tr>
      <w:tr w14:paraId="469F7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14:paraId="594379EB">
            <w:pPr>
              <w:spacing w:line="360" w:lineRule="auto"/>
              <w:jc w:val="center"/>
              <w:rPr>
                <w:b/>
                <w:bCs/>
                <w:sz w:val="24"/>
              </w:rPr>
            </w:pPr>
            <w:r>
              <w:rPr>
                <w:b/>
                <w:bCs/>
                <w:sz w:val="24"/>
              </w:rPr>
              <w:t>一致性规则</w:t>
            </w:r>
          </w:p>
        </w:tc>
        <w:tc>
          <w:tcPr>
            <w:tcW w:w="1847" w:type="dxa"/>
          </w:tcPr>
          <w:p w14:paraId="0CA91A85">
            <w:pPr>
              <w:spacing w:line="360" w:lineRule="auto"/>
              <w:jc w:val="center"/>
              <w:rPr>
                <w:sz w:val="24"/>
              </w:rPr>
            </w:pPr>
            <w:r>
              <w:rPr>
                <w:sz w:val="24"/>
              </w:rPr>
              <w:t>课程成绩表</w:t>
            </w:r>
          </w:p>
        </w:tc>
        <w:tc>
          <w:tcPr>
            <w:tcW w:w="3126" w:type="dxa"/>
          </w:tcPr>
          <w:p w14:paraId="4E6B143E">
            <w:pPr>
              <w:spacing w:line="360" w:lineRule="auto"/>
              <w:jc w:val="center"/>
              <w:rPr>
                <w:sz w:val="24"/>
              </w:rPr>
            </w:pPr>
            <w:r>
              <w:rPr>
                <w:sz w:val="24"/>
              </w:rPr>
              <w:t>成绩数值在[0, 100]区间</w:t>
            </w:r>
          </w:p>
        </w:tc>
        <w:tc>
          <w:tcPr>
            <w:tcW w:w="2131" w:type="dxa"/>
          </w:tcPr>
          <w:p w14:paraId="7CF463A3">
            <w:pPr>
              <w:spacing w:line="360" w:lineRule="auto"/>
              <w:jc w:val="center"/>
              <w:rPr>
                <w:sz w:val="24"/>
              </w:rPr>
            </w:pPr>
            <w:r>
              <w:rPr>
                <w:sz w:val="24"/>
              </w:rPr>
              <w:t>记录异常并标记为待修复</w:t>
            </w:r>
          </w:p>
        </w:tc>
      </w:tr>
      <w:tr w14:paraId="61E02A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14:paraId="6DD617DB">
            <w:pPr>
              <w:spacing w:line="360" w:lineRule="auto"/>
              <w:jc w:val="center"/>
              <w:rPr>
                <w:b/>
                <w:bCs/>
                <w:sz w:val="24"/>
              </w:rPr>
            </w:pPr>
            <w:r>
              <w:rPr>
                <w:b/>
                <w:bCs/>
                <w:sz w:val="24"/>
              </w:rPr>
              <w:t>准确性规则</w:t>
            </w:r>
          </w:p>
        </w:tc>
        <w:tc>
          <w:tcPr>
            <w:tcW w:w="1847" w:type="dxa"/>
          </w:tcPr>
          <w:p w14:paraId="495E1083">
            <w:pPr>
              <w:spacing w:line="360" w:lineRule="auto"/>
              <w:jc w:val="center"/>
              <w:rPr>
                <w:sz w:val="24"/>
              </w:rPr>
            </w:pPr>
            <w:r>
              <w:rPr>
                <w:sz w:val="24"/>
              </w:rPr>
              <w:t>产业岗位数据</w:t>
            </w:r>
          </w:p>
        </w:tc>
        <w:tc>
          <w:tcPr>
            <w:tcW w:w="3126" w:type="dxa"/>
          </w:tcPr>
          <w:p w14:paraId="38AC576B">
            <w:pPr>
              <w:spacing w:line="360" w:lineRule="auto"/>
              <w:jc w:val="center"/>
              <w:rPr>
                <w:sz w:val="24"/>
              </w:rPr>
            </w:pPr>
            <w:r>
              <w:rPr>
                <w:sz w:val="24"/>
              </w:rPr>
              <w:t>与第三方权威招聘网站进行字段映射校验</w:t>
            </w:r>
          </w:p>
        </w:tc>
        <w:tc>
          <w:tcPr>
            <w:tcW w:w="2131" w:type="dxa"/>
          </w:tcPr>
          <w:p w14:paraId="46A277F1">
            <w:pPr>
              <w:spacing w:line="360" w:lineRule="auto"/>
              <w:jc w:val="center"/>
              <w:rPr>
                <w:sz w:val="24"/>
              </w:rPr>
            </w:pPr>
            <w:r>
              <w:rPr>
                <w:sz w:val="24"/>
              </w:rPr>
              <w:t>生成差异报告供人工审核</w:t>
            </w:r>
          </w:p>
        </w:tc>
      </w:tr>
      <w:tr w14:paraId="586BC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14:paraId="6FD4C530">
            <w:pPr>
              <w:spacing w:line="360" w:lineRule="auto"/>
              <w:jc w:val="center"/>
              <w:rPr>
                <w:b/>
                <w:bCs/>
                <w:sz w:val="24"/>
              </w:rPr>
            </w:pPr>
            <w:r>
              <w:rPr>
                <w:b/>
                <w:bCs/>
                <w:sz w:val="24"/>
              </w:rPr>
              <w:t>及时性规则</w:t>
            </w:r>
          </w:p>
        </w:tc>
        <w:tc>
          <w:tcPr>
            <w:tcW w:w="1847" w:type="dxa"/>
          </w:tcPr>
          <w:p w14:paraId="509DC08B">
            <w:pPr>
              <w:spacing w:line="360" w:lineRule="auto"/>
              <w:jc w:val="center"/>
              <w:rPr>
                <w:sz w:val="24"/>
              </w:rPr>
            </w:pPr>
            <w:r>
              <w:rPr>
                <w:sz w:val="24"/>
              </w:rPr>
              <w:t>日志数据接入</w:t>
            </w:r>
          </w:p>
        </w:tc>
        <w:tc>
          <w:tcPr>
            <w:tcW w:w="3126" w:type="dxa"/>
          </w:tcPr>
          <w:p w14:paraId="4EF062F2">
            <w:pPr>
              <w:spacing w:line="360" w:lineRule="auto"/>
              <w:jc w:val="center"/>
              <w:rPr>
                <w:sz w:val="24"/>
              </w:rPr>
            </w:pPr>
            <w:r>
              <w:rPr>
                <w:sz w:val="24"/>
              </w:rPr>
              <w:t>数据到达延迟 &lt; 5分钟</w:t>
            </w:r>
          </w:p>
        </w:tc>
        <w:tc>
          <w:tcPr>
            <w:tcW w:w="2131" w:type="dxa"/>
          </w:tcPr>
          <w:p w14:paraId="7710BE92">
            <w:pPr>
              <w:spacing w:line="360" w:lineRule="auto"/>
              <w:jc w:val="center"/>
              <w:rPr>
                <w:sz w:val="24"/>
              </w:rPr>
            </w:pPr>
            <w:r>
              <w:rPr>
                <w:sz w:val="24"/>
              </w:rPr>
              <w:t>触发告警通知运维人员</w:t>
            </w:r>
          </w:p>
        </w:tc>
      </w:tr>
    </w:tbl>
    <w:p w14:paraId="3AA4F489">
      <w:pPr>
        <w:numPr>
          <w:ilvl w:val="3"/>
          <w:numId w:val="1"/>
        </w:numPr>
        <w:spacing w:line="360" w:lineRule="auto"/>
        <w:outlineLvl w:val="3"/>
        <w:rPr>
          <w:b/>
          <w:bCs/>
          <w:sz w:val="24"/>
        </w:rPr>
      </w:pPr>
      <w:bookmarkStart w:id="27" w:name="_Toc221113252"/>
      <w:r>
        <w:rPr>
          <w:b/>
          <w:bCs/>
          <w:sz w:val="24"/>
        </w:rPr>
        <w:t>AI引擎层（模型与能力中台）</w:t>
      </w:r>
      <w:bookmarkEnd w:id="27"/>
    </w:p>
    <w:p w14:paraId="6545FCB1">
      <w:pPr>
        <w:spacing w:line="360" w:lineRule="auto"/>
        <w:rPr>
          <w:sz w:val="24"/>
        </w:rPr>
      </w:pPr>
    </w:p>
    <w:p w14:paraId="48FBF2BC">
      <w:pPr>
        <w:spacing w:line="360" w:lineRule="auto"/>
        <w:ind w:firstLine="480" w:firstLineChars="200"/>
        <w:rPr>
          <w:sz w:val="24"/>
        </w:rPr>
      </w:pPr>
      <w:r>
        <w:rPr>
          <w:sz w:val="24"/>
        </w:rPr>
        <w:t>本层是“AI赋能”的具体实现，将各类AI能力封装为标准化、可调度的微服务。它采用ModelOps理念对AI模型进行全生命周期管理。大语言模型服务通过Triton Inference Server或vLLM推理引擎，支持以统一接口接入Qwen、DeepSeek等开源或云端大模型，并通过API网关进行智能路由与负载均衡。传统机器学习服务基于MLflow构建模型仓库，集成Scikit-learn、XGBoost等算法库，提供从训练、评估到部署的一站式服务。知识图谱引擎基于JanusGraph图数据库构建，支撑产业岗位、专业课程等复杂关系的存储与推理。可视化工作流引擎是核心编排中枢，采用Apache Airflow与Node-RED融合架构。Airflow负责复杂调度与依赖管理，Node-RED提供低代码的拖拽式界面。开发者可通过此引擎将数据查询、模型调用、业务逻辑（Python脚本）等组件编排成自动化AI流水线。下图</w:t>
      </w:r>
      <w:r>
        <w:rPr>
          <w:rFonts w:hint="eastAsia"/>
          <w:sz w:val="24"/>
        </w:rPr>
        <w:t>18</w:t>
      </w:r>
      <w:r>
        <w:rPr>
          <w:sz w:val="24"/>
        </w:rPr>
        <w:t>展示了AI引擎层处理一个“智能排课推荐”任务的典型工作流</w:t>
      </w:r>
      <w:r>
        <w:rPr>
          <w:rFonts w:hint="eastAsia"/>
          <w:sz w:val="24"/>
        </w:rPr>
        <w:t>。</w:t>
      </w:r>
    </w:p>
    <w:p w14:paraId="049BE760">
      <w:pPr>
        <w:spacing w:line="360" w:lineRule="auto"/>
        <w:jc w:val="center"/>
        <w:rPr>
          <w:sz w:val="24"/>
        </w:rPr>
      </w:pPr>
      <w:r>
        <w:rPr>
          <w:sz w:val="24"/>
        </w:rPr>
        <w:drawing>
          <wp:inline distT="0" distB="0" distL="114300" distR="114300">
            <wp:extent cx="3672840" cy="7010400"/>
            <wp:effectExtent l="0" t="0" r="3810" b="0"/>
            <wp:docPr id="2" name="图片 2" descr="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2.1"/>
                    <pic:cNvPicPr>
                      <a:picLocks noChangeAspect="1"/>
                    </pic:cNvPicPr>
                  </pic:nvPicPr>
                  <pic:blipFill>
                    <a:blip r:embed="rId22"/>
                    <a:stretch>
                      <a:fillRect/>
                    </a:stretch>
                  </pic:blipFill>
                  <pic:spPr>
                    <a:xfrm>
                      <a:off x="0" y="0"/>
                      <a:ext cx="3690956" cy="7044121"/>
                    </a:xfrm>
                    <a:prstGeom prst="rect">
                      <a:avLst/>
                    </a:prstGeom>
                  </pic:spPr>
                </pic:pic>
              </a:graphicData>
            </a:graphic>
          </wp:inline>
        </w:drawing>
      </w:r>
    </w:p>
    <w:p w14:paraId="6C07EF84">
      <w:pPr>
        <w:pStyle w:val="2"/>
        <w:spacing w:line="360" w:lineRule="auto"/>
        <w:ind w:firstLine="422" w:firstLineChars="200"/>
        <w:jc w:val="center"/>
        <w:rPr>
          <w:rFonts w:asciiTheme="minorHAnsi" w:hAnsiTheme="minorHAnsi" w:eastAsiaTheme="minorEastAsia"/>
          <w:b/>
          <w:bCs/>
          <w:sz w:val="21"/>
        </w:rPr>
      </w:pPr>
      <w:r>
        <w:rPr>
          <w:rFonts w:hint="eastAsia" w:asciiTheme="minorHAnsi" w:hAnsiTheme="minorHAnsi" w:eastAsiaTheme="minorEastAsia"/>
          <w:b/>
          <w:bCs/>
          <w:sz w:val="21"/>
        </w:rPr>
        <w:t xml:space="preserve">图18 </w:t>
      </w:r>
      <w:r>
        <w:rPr>
          <w:rFonts w:asciiTheme="minorHAnsi" w:hAnsiTheme="minorHAnsi" w:eastAsiaTheme="minorEastAsia"/>
          <w:b/>
          <w:bCs/>
          <w:sz w:val="21"/>
        </w:rPr>
        <w:t>“智能排课推荐”任务的典型工作流</w:t>
      </w:r>
    </w:p>
    <w:p w14:paraId="077C8A27">
      <w:pPr>
        <w:numPr>
          <w:ilvl w:val="3"/>
          <w:numId w:val="1"/>
        </w:numPr>
        <w:spacing w:line="360" w:lineRule="auto"/>
        <w:outlineLvl w:val="3"/>
        <w:rPr>
          <w:b/>
          <w:bCs/>
          <w:sz w:val="24"/>
        </w:rPr>
      </w:pPr>
      <w:bookmarkStart w:id="28" w:name="_Toc221113253"/>
      <w:r>
        <w:rPr>
          <w:b/>
          <w:bCs/>
          <w:sz w:val="24"/>
        </w:rPr>
        <w:t>应用开发层（低代码开发环境）</w:t>
      </w:r>
      <w:bookmarkEnd w:id="28"/>
    </w:p>
    <w:p w14:paraId="4FCC9C8F">
      <w:pPr>
        <w:spacing w:line="360" w:lineRule="auto"/>
        <w:rPr>
          <w:sz w:val="24"/>
        </w:rPr>
      </w:pPr>
    </w:p>
    <w:p w14:paraId="779F0219">
      <w:pPr>
        <w:spacing w:line="360" w:lineRule="auto"/>
        <w:ind w:firstLine="480" w:firstLineChars="200"/>
        <w:rPr>
          <w:sz w:val="24"/>
        </w:rPr>
      </w:pPr>
      <w:r>
        <w:rPr>
          <w:rFonts w:hint="eastAsia"/>
          <w:sz w:val="24"/>
        </w:rPr>
        <w:t>本层是平台赋能业务人员（如教师、管理员）进行应用创新的核心枢纽，致力于将底层复杂的AI能力转化为直观、可配置的模块，使无深厚技术背景的用户也能构建和定制智能应用。整个环境构建于一套开源可视化框架之上，为招标文件所要求的智能问答、工作流、智能体三类核心应用提供统一的声明式开发体验。所有应用的开发过程均基于JSON Schema进行配置，这不仅确保了应用逻辑的结构化、清晰化，还实现了配置的版本化管理与高效迁移，真正贯彻了“配置即应用”的核心理念，从根源上保障了应用的可维护性与可扩展性。</w:t>
      </w:r>
    </w:p>
    <w:p w14:paraId="2A20655B">
      <w:pPr>
        <w:spacing w:line="360" w:lineRule="auto"/>
        <w:ind w:firstLine="480" w:firstLineChars="200"/>
        <w:rPr>
          <w:sz w:val="24"/>
        </w:rPr>
      </w:pPr>
    </w:p>
    <w:p w14:paraId="37DD19AB">
      <w:pPr>
        <w:spacing w:line="360" w:lineRule="auto"/>
        <w:ind w:firstLine="480" w:firstLineChars="200"/>
        <w:rPr>
          <w:sz w:val="24"/>
        </w:rPr>
      </w:pPr>
      <w:r>
        <w:rPr>
          <w:rFonts w:hint="eastAsia"/>
          <w:sz w:val="24"/>
        </w:rPr>
        <w:t>1. 智能问答应用设计器</w:t>
      </w:r>
    </w:p>
    <w:p w14:paraId="382E8525">
      <w:pPr>
        <w:spacing w:line="360" w:lineRule="auto"/>
        <w:ind w:firstLine="480" w:firstLineChars="200"/>
        <w:rPr>
          <w:sz w:val="24"/>
        </w:rPr>
      </w:pPr>
      <w:r>
        <w:rPr>
          <w:rFonts w:hint="eastAsia"/>
          <w:sz w:val="24"/>
        </w:rPr>
        <w:t>智能问答应用设计器为构建精准、流畅的对话式AI应用提供了专业环境。其核心是一个深度集成了Monaco Editor（与VS Code同款）的提示词工程平台，为用户提供具备语法高亮、智能提示、代码折叠等专业功能的提示词编写与调试环境。在开发过程中，设计器内置的调试面板允许用户实时预览模型响应、调整温度等生成参数，并可模拟多轮对话以快速迭代优化提示逻辑。为了确保问答的准确性与上下文相关性，设计器支持通过{{variable}}语法插入运行时变量，并可便捷地关联下层知识库，通过图形化配置将检索到的知识片段作为事实依据自动注入对话上下文。此外，业务人员可以通过专门的交互配置界面，轻松设定对话的开场白、默认回复、问题建议列表等元素，并定义对话轮次、超时规则及异常处理流程，从而全方位地塑造出一个引导性强、用户体验友好的专业问答应用。</w:t>
      </w:r>
    </w:p>
    <w:p w14:paraId="6BB6B5FA">
      <w:pPr>
        <w:spacing w:line="360" w:lineRule="auto"/>
        <w:ind w:firstLine="480" w:firstLineChars="200"/>
        <w:rPr>
          <w:sz w:val="24"/>
        </w:rPr>
      </w:pPr>
    </w:p>
    <w:p w14:paraId="5B703A58">
      <w:pPr>
        <w:spacing w:line="360" w:lineRule="auto"/>
        <w:ind w:firstLine="480" w:firstLineChars="200"/>
        <w:rPr>
          <w:sz w:val="24"/>
        </w:rPr>
      </w:pPr>
      <w:r>
        <w:rPr>
          <w:rFonts w:hint="eastAsia"/>
          <w:sz w:val="24"/>
        </w:rPr>
        <w:t>2. 工作流应用设计器</w:t>
      </w:r>
    </w:p>
    <w:p w14:paraId="7B7B2BFD">
      <w:pPr>
        <w:spacing w:line="360" w:lineRule="auto"/>
        <w:ind w:firstLine="480" w:firstLineChars="200"/>
        <w:rPr>
          <w:sz w:val="24"/>
        </w:rPr>
      </w:pPr>
      <w:r>
        <w:rPr>
          <w:rFonts w:hint="eastAsia"/>
          <w:sz w:val="24"/>
        </w:rPr>
        <w:t>工作流应用设计器直接复用并封装了AI引擎层的Node-RED可视化流程引擎，为用户提供了一个通过拖拽连线即可实现复杂业务逻辑自动化的强大工具。用户可以在画布上自由拖拽各类预置的功能节点，并通过连线定义其执行顺序，从而直观地编排业务流程。平台提供了丰富的节点库，涵盖“数据查询”、“模型调用”、“条件判断”、“API调用”等关键操作，例如，用户可以将“知识库检索”节点、“大模型分析”节点和“邮件发送”节点连接起来，自动完成从信息查询到报告生成的完整链路。设计器支持对工作流进行分组、注释和一键发布，并内置了详尽的运行跟踪与监控功能，允许开发者实时查看每个节点的输入输出数据与执行状态，极大便利了流程的调试、优化与故障排查。</w:t>
      </w:r>
    </w:p>
    <w:p w14:paraId="3F5389F0">
      <w:pPr>
        <w:spacing w:line="360" w:lineRule="auto"/>
        <w:ind w:firstLine="480" w:firstLineChars="200"/>
        <w:rPr>
          <w:sz w:val="24"/>
        </w:rPr>
      </w:pPr>
    </w:p>
    <w:p w14:paraId="02DF8DF0">
      <w:pPr>
        <w:spacing w:line="360" w:lineRule="auto"/>
        <w:ind w:firstLine="480" w:firstLineChars="200"/>
        <w:rPr>
          <w:sz w:val="24"/>
        </w:rPr>
      </w:pPr>
      <w:r>
        <w:rPr>
          <w:rFonts w:hint="eastAsia"/>
          <w:sz w:val="24"/>
        </w:rPr>
        <w:t>3. 智能体（Agent）应用设计器</w:t>
      </w:r>
    </w:p>
    <w:p w14:paraId="5554EA2E">
      <w:pPr>
        <w:spacing w:line="360" w:lineRule="auto"/>
        <w:ind w:firstLine="480" w:firstLineChars="200"/>
        <w:rPr>
          <w:sz w:val="24"/>
        </w:rPr>
      </w:pPr>
      <w:r>
        <w:rPr>
          <w:rFonts w:hint="eastAsia"/>
          <w:sz w:val="24"/>
        </w:rPr>
        <w:t>智能体应用设计器旨在帮助用户配置具备自主规划与执行能力的智能代理，其遵循“目标-工具-规划”的配置哲学。用户首先需要为智能体定义明确的目标与角色（如“作为课程设计顾问”），以此作为其决策与行动的根本指引。随后，用户可以为智能体装配一个多样化的工具包，工具来源包括平台内部的知识库、已封装好的自动化工作流，以及通过MCP（Model Context Protocol）等标准化协议集成的第三方工具，例如Wolfram Alpha计算引擎或代码解释器。在规划能力配置方面，设计器提供了丰富的策略选项，用户可以设定智能体是否需要在行动前进行“思考链”推导、配置工具调用的优先级与失败回退机制，并管理其对话记忆与历史上下文，从而构建出能够理解复杂指令、自主调用工具链并完成多步骤任务的智能体应用。</w:t>
      </w:r>
    </w:p>
    <w:p w14:paraId="35A8D72E">
      <w:pPr>
        <w:spacing w:line="360" w:lineRule="auto"/>
        <w:ind w:firstLine="480" w:firstLineChars="200"/>
        <w:rPr>
          <w:sz w:val="24"/>
        </w:rPr>
      </w:pPr>
    </w:p>
    <w:p w14:paraId="2953E2D8">
      <w:pPr>
        <w:spacing w:line="360" w:lineRule="auto"/>
        <w:ind w:firstLine="480" w:firstLineChars="200"/>
        <w:rPr>
          <w:sz w:val="24"/>
        </w:rPr>
      </w:pPr>
      <w:r>
        <w:rPr>
          <w:rFonts w:hint="eastAsia"/>
          <w:sz w:val="24"/>
        </w:rPr>
        <w:t>4. 应用界面设计器</w:t>
      </w:r>
    </w:p>
    <w:p w14:paraId="123237DC">
      <w:pPr>
        <w:spacing w:line="360" w:lineRule="auto"/>
        <w:ind w:firstLine="480" w:firstLineChars="200"/>
        <w:rPr>
          <w:sz w:val="24"/>
        </w:rPr>
      </w:pPr>
      <w:r>
        <w:rPr>
          <w:rFonts w:hint="eastAsia"/>
          <w:sz w:val="24"/>
        </w:rPr>
        <w:t>应用界面设计器专注于快速生成应用的前端用户界面，并实现与后端业务逻辑的无缝绑定。该设计器基于成熟的Quasar Framework组件库和Vue Formulate表单引擎，允许用户通过简单的拖拽操作，将预设的表格、图表、表单、按钮等响应式组件组合成所需的页面布局。对于数据展示与收集界面，设计器能够依据后端服务的数据结构（JSON Schema）自动渲染出包含完整验证规则的表单或列表，并允许通过图形化方式将界面元素（如输入框、图表数据源）直接绑定到后台智能问答、工作流或智能体的输出结果上。用户还可以为界面元素配置交互事件，例如将按钮点击动作绑定到触发一个特定的工作流或向智能体提交查询，从而轻松实现从用户交互到AI能力调用的完整闭环，快速构建出直观易用的业务应用前端。</w:t>
      </w:r>
    </w:p>
    <w:p w14:paraId="2B95C006">
      <w:pPr>
        <w:spacing w:line="360" w:lineRule="auto"/>
        <w:ind w:firstLine="480" w:firstLineChars="200"/>
        <w:rPr>
          <w:sz w:val="24"/>
        </w:rPr>
      </w:pPr>
    </w:p>
    <w:p w14:paraId="2221C990">
      <w:pPr>
        <w:spacing w:line="360" w:lineRule="auto"/>
        <w:ind w:firstLine="480" w:firstLineChars="200"/>
        <w:rPr>
          <w:sz w:val="24"/>
        </w:rPr>
      </w:pPr>
    </w:p>
    <w:p w14:paraId="2AF47C80">
      <w:pPr>
        <w:numPr>
          <w:ilvl w:val="3"/>
          <w:numId w:val="1"/>
        </w:numPr>
        <w:spacing w:line="360" w:lineRule="auto"/>
        <w:outlineLvl w:val="3"/>
        <w:rPr>
          <w:b/>
          <w:bCs/>
          <w:sz w:val="24"/>
        </w:rPr>
      </w:pPr>
      <w:bookmarkStart w:id="29" w:name="_Toc221113254"/>
      <w:r>
        <w:rPr>
          <w:b/>
          <w:bCs/>
          <w:sz w:val="24"/>
        </w:rPr>
        <w:t>应用服务层（能力开放与治理）</w:t>
      </w:r>
      <w:bookmarkEnd w:id="29"/>
    </w:p>
    <w:p w14:paraId="0058F792">
      <w:pPr>
        <w:spacing w:line="360" w:lineRule="auto"/>
        <w:rPr>
          <w:sz w:val="24"/>
        </w:rPr>
      </w:pPr>
    </w:p>
    <w:p w14:paraId="701E50F0">
      <w:pPr>
        <w:spacing w:line="360" w:lineRule="auto"/>
        <w:ind w:firstLine="480" w:firstLineChars="200"/>
        <w:rPr>
          <w:sz w:val="24"/>
        </w:rPr>
      </w:pPr>
      <w:r>
        <w:rPr>
          <w:sz w:val="24"/>
        </w:rPr>
        <w:t>应用服务层是平台与校园内外用户、系统进行交互的核心枢纽，它不仅负责将开发成果转化为可运行的服务，更致力于构建一个开放、安全、可控的数字能力生态。在自动化封装与标准化暴露方面，平台内置了智能化的接口生成引擎。当应用从开发层部署至此时，引擎会自动解析应用代码中的元数据与标准化注解（如遵循OpenAPI规范的Swagger注解），动态生成完全符合OpenAPI 3.0规格的交互式API文档。这一过程将业务逻辑无缝封装为标准RESTful API服务，确保了协议、数据格式（JSON/XML）与错误处理机制的一致性，为后续的治理与开放奠定了坚实基础。</w:t>
      </w:r>
    </w:p>
    <w:p w14:paraId="5613EA2B">
      <w:pPr>
        <w:spacing w:line="360" w:lineRule="auto"/>
        <w:ind w:firstLine="480" w:firstLineChars="200"/>
        <w:rPr>
          <w:sz w:val="24"/>
        </w:rPr>
      </w:pPr>
    </w:p>
    <w:p w14:paraId="550B59E6">
      <w:pPr>
        <w:spacing w:line="360" w:lineRule="auto"/>
        <w:ind w:firstLine="480" w:firstLineChars="200"/>
        <w:rPr>
          <w:sz w:val="24"/>
        </w:rPr>
      </w:pPr>
      <w:r>
        <w:rPr>
          <w:sz w:val="24"/>
        </w:rPr>
        <w:t>作为所有流量的统一入口，我们以高性能的Apache APISIX作为API网关的核心。该网关基于Nginx与etcd实现，支持所有路由、插件配置的动态热更新，无需重启即可生效，从而保障了服务的高可用性。网关负责接入请求的反向代理、负载均衡（支持多种算法）与路由分发，并对每个上线的API实施全生命周期管理，包括创建、版本控制、灰度发布及下线。在安全防护与访问控制层面，网关与Keycloak深度集成，通过OAuth 2.0/OIDC协议实现集中认证，并将身份验证过程从业务服务中卸载。平台与智慧校园统一身份认证中心对接，实现跨系统的单点登录（SSO）。用户成功登录校园门户后，即可凭令牌无缝访问平台内所有授权应用。认证通过后，网关会解码JWT令牌，将用户声明传递给后端服务以进行精细化的鉴权。平台实施基于角色的访问控制，并可根据业务需要扩展至基于属性的策略。此外，网关层面还支持配置API密钥、IP白名单及二次验证等多重安全防线。</w:t>
      </w:r>
    </w:p>
    <w:p w14:paraId="2F84A412">
      <w:pPr>
        <w:spacing w:line="360" w:lineRule="auto"/>
        <w:ind w:firstLine="480" w:firstLineChars="200"/>
        <w:rPr>
          <w:sz w:val="24"/>
        </w:rPr>
      </w:pPr>
    </w:p>
    <w:p w14:paraId="0E972660">
      <w:pPr>
        <w:spacing w:line="360" w:lineRule="auto"/>
        <w:ind w:firstLine="480" w:firstLineChars="200"/>
        <w:rPr>
          <w:sz w:val="24"/>
        </w:rPr>
      </w:pPr>
      <w:r>
        <w:rPr>
          <w:sz w:val="24"/>
        </w:rPr>
        <w:t>为确保平台的稳定与高可用，网关内置了强大的流量治理能力。它通过令牌桶、漏桶等算法为不同API或用户实施细粒度限流，防止资源被耗尽或遭受恶意攻击。同时，集成熔断器模式，当监测到后端服务失败率超过阈值时自动触发熔断，快速返回降级响应以避免故障蔓延，并支持配置自动恢复策略。网关还提供请求/响应转换、校验与过滤功能，确保数据契约的合规性。在可观测性方面，APISIX自动采集每个API的黄金指标，包括请求量、延迟、错误率等，并与Prometheus等监控系统集成，实现实时监控与告警。所有经过网关的请求日志均被集中采集，经脱敏后送入ELK等日志平台，用于安全审计、故障排查与行为分析。基于这些数据，平台可生成API性能报告，识别热点与瓶颈，为容量规划与优化提供依据。</w:t>
      </w:r>
    </w:p>
    <w:p w14:paraId="57A7F090">
      <w:pPr>
        <w:spacing w:line="360" w:lineRule="auto"/>
        <w:ind w:firstLine="480" w:firstLineChars="200"/>
        <w:rPr>
          <w:sz w:val="24"/>
        </w:rPr>
      </w:pPr>
    </w:p>
    <w:p w14:paraId="60C4AD49">
      <w:pPr>
        <w:spacing w:line="360" w:lineRule="auto"/>
        <w:ind w:firstLine="480" w:firstLineChars="200"/>
        <w:rPr>
          <w:sz w:val="24"/>
        </w:rPr>
      </w:pPr>
      <w:r>
        <w:rPr>
          <w:sz w:val="24"/>
        </w:rPr>
        <w:t>平台通过统一的服务门户与外部生态进行集成，构建了开放的服务市场。该门户作为开发者与使用者的统一入口，提供完整的API目录与交互式文档，支持在线浏览、搜索、测试与权限申请。校内开发者或经批准的第三方合作伙伴可在此获取密钥、管理应用并查看调用统计数据。门户进一步与智慧校园平台深度融合，不仅在入口层面实现导航集成与单点登录，更在数据层面同步组织架构与主数据信息。管理员在智慧校园平台管理的用户角色，将通过预设的映射关系自动同步至本平台，从而实现了跨系统、跨平台权限的统一管控，确保了用户“一次登录，全网通行”且权限精准一致的体验。</w:t>
      </w:r>
    </w:p>
    <w:p w14:paraId="7438B5B7">
      <w:pPr>
        <w:spacing w:line="360" w:lineRule="auto"/>
        <w:ind w:firstLine="480" w:firstLineChars="200"/>
        <w:rPr>
          <w:sz w:val="24"/>
        </w:rPr>
      </w:pPr>
    </w:p>
    <w:p w14:paraId="3EA01269">
      <w:pPr>
        <w:numPr>
          <w:ilvl w:val="3"/>
          <w:numId w:val="1"/>
        </w:numPr>
        <w:spacing w:line="360" w:lineRule="auto"/>
        <w:outlineLvl w:val="3"/>
        <w:rPr>
          <w:b/>
          <w:bCs/>
          <w:sz w:val="24"/>
        </w:rPr>
      </w:pPr>
      <w:bookmarkStart w:id="30" w:name="_Toc221113255"/>
      <w:r>
        <w:rPr>
          <w:b/>
          <w:bCs/>
          <w:sz w:val="24"/>
        </w:rPr>
        <w:t>用户交互层（多渠道触达）</w:t>
      </w:r>
      <w:bookmarkEnd w:id="30"/>
    </w:p>
    <w:p w14:paraId="1DEF1366">
      <w:pPr>
        <w:spacing w:line="360" w:lineRule="auto"/>
        <w:rPr>
          <w:sz w:val="24"/>
        </w:rPr>
      </w:pPr>
    </w:p>
    <w:p w14:paraId="77C7EDF1">
      <w:pPr>
        <w:spacing w:line="360" w:lineRule="auto"/>
        <w:ind w:firstLine="480" w:firstLineChars="200"/>
        <w:rPr>
          <w:sz w:val="24"/>
        </w:rPr>
      </w:pPr>
      <w:r>
        <w:rPr>
          <w:rFonts w:hint="eastAsia"/>
          <w:sz w:val="24"/>
        </w:rPr>
        <w:t>平台遵循“以用户为中心、体验优先、服务无处不在”的设计理念，构建了多渠道、轻量化、深度集成的用户交互体系。该层不仅是用户访问AI能力的入口，更是将智能服务融入师生日常工作与学习流的关键桥梁，旨在实现“AI能力随需而用、触手可及”的无缝体验。</w:t>
      </w:r>
    </w:p>
    <w:p w14:paraId="4C00381A">
      <w:pPr>
        <w:spacing w:line="360" w:lineRule="auto"/>
        <w:ind w:firstLine="480" w:firstLineChars="200"/>
        <w:rPr>
          <w:sz w:val="24"/>
        </w:rPr>
      </w:pPr>
    </w:p>
    <w:p w14:paraId="3F751988">
      <w:pPr>
        <w:spacing w:line="360" w:lineRule="auto"/>
        <w:ind w:firstLine="480" w:firstLineChars="200"/>
        <w:rPr>
          <w:sz w:val="24"/>
        </w:rPr>
      </w:pPr>
      <w:r>
        <w:rPr>
          <w:rFonts w:hint="eastAsia"/>
          <w:sz w:val="24"/>
        </w:rPr>
        <w:t>在多终端自适应访问体系方面，平台基于 Vue 3、TypeScript 并结合 Quasar Framework 构建了统一的管理控制台与应用界面，采用响应式设计及 CSS Grid、Flexbox 等现代布局技术，确保从桌面大屏到移动设备的各类屏幕上均能获得布局合理、操作流畅的交互体验。针对高频、轻量化的使用场景（如知识问答、流程审批），平台可快速生成独立的移动端 H5 轻应用页面，这些页面利用 Service Worker 技术实现离线缓存与快速加载，并可通过学校移动办公平台（如钉钉、微信企业号）或自有 App 以 WebView 形式无缝嵌入，为用户提供近似原生应用的便捷交互。</w:t>
      </w:r>
    </w:p>
    <w:p w14:paraId="0A615951">
      <w:pPr>
        <w:spacing w:line="360" w:lineRule="auto"/>
        <w:ind w:firstLine="480" w:firstLineChars="200"/>
        <w:rPr>
          <w:sz w:val="24"/>
        </w:rPr>
      </w:pPr>
    </w:p>
    <w:p w14:paraId="53AC22E9">
      <w:pPr>
        <w:spacing w:line="360" w:lineRule="auto"/>
        <w:ind w:firstLine="480" w:firstLineChars="200"/>
        <w:rPr>
          <w:sz w:val="24"/>
        </w:rPr>
      </w:pPr>
      <w:r>
        <w:rPr>
          <w:rFonts w:hint="eastAsia"/>
          <w:sz w:val="24"/>
        </w:rPr>
        <w:t>在深度集成与嵌入式能力分发层面，平台通过 API 网关（Apache APISIX）对外暴露所有遵循 OpenAPI 3.0 规范的 RESTful API 与 GraphQL 接口，并提供完备的文档、SDK 及调试工具，使第三方系统可通过 HTTPS 安全调用，实现与平台 AI 能力的程序化集成。为实现与智慧校园门户等现有系统的无缝融合，平台支持基于微前端架构（如 Module Federation 或 iframe + postMessage 方案）的集成模式，可将特定 AI 应用（如“AI问数”组件、数据仪表盘）作为独立模块动态加载至宿主页面，实现样式隔离、独立发布与运行时共享。同时，依托与学校统一身份认证系统的深度集成（基于 OAuth 2.0/OIDC），用户在门户登录后访问嵌入式 AI 应用无需二次认证，平台还可通过安全令牌或 URL 参数接收并解析来自门户的上下文信息（如用户身份、当前院系），使 AI 服务能智能适配场景，提供个性化体验。</w:t>
      </w:r>
    </w:p>
    <w:p w14:paraId="0DC41E1D">
      <w:pPr>
        <w:spacing w:line="360" w:lineRule="auto"/>
        <w:ind w:firstLine="480" w:firstLineChars="200"/>
        <w:rPr>
          <w:sz w:val="24"/>
        </w:rPr>
      </w:pPr>
    </w:p>
    <w:p w14:paraId="37C3ED5E">
      <w:pPr>
        <w:spacing w:line="360" w:lineRule="auto"/>
        <w:ind w:firstLine="480" w:firstLineChars="200"/>
        <w:rPr>
          <w:sz w:val="24"/>
        </w:rPr>
      </w:pPr>
      <w:r>
        <w:rPr>
          <w:rFonts w:hint="eastAsia"/>
          <w:sz w:val="24"/>
        </w:rPr>
        <w:t>平台支持多样化的交互模式，以满足不同场景需求。针对智能问答类应用，提供可高度定制的聊天机器人组件，支持文本与语音（集成 Web Speech API）双模输入，并可通过 CSS 变量深度适配集成系统的视觉风格，对话历史支持本地缓存以保持上下文连续性。对于数据查询与分析类应用，则提供基于 ECharts 或 Chart.js 的可配置图表组件库，能够通过 API 动态生成交互式图表，用户可在集成页面内直接进行数据筛选、下钻等操作，交互事件通过自定义事件机制向宿主页面反馈。此外，平台还集成消息推送服务，可将流程审批、预警通知等通过 WebSocket 实时推送至前端，或聚合至学校统一消息中心，并支持调用校内消息平台的 API 实现短信、邮件、移动 App 等多渠道触达。</w:t>
      </w:r>
    </w:p>
    <w:p w14:paraId="7275F6C7">
      <w:pPr>
        <w:spacing w:line="360" w:lineRule="auto"/>
        <w:ind w:firstLine="480" w:firstLineChars="200"/>
        <w:rPr>
          <w:sz w:val="24"/>
        </w:rPr>
      </w:pPr>
    </w:p>
    <w:p w14:paraId="32892302">
      <w:pPr>
        <w:spacing w:line="360" w:lineRule="auto"/>
        <w:ind w:firstLine="480" w:firstLineChars="200"/>
        <w:rPr>
          <w:sz w:val="24"/>
        </w:rPr>
      </w:pPr>
      <w:r>
        <w:rPr>
          <w:rFonts w:hint="eastAsia"/>
          <w:sz w:val="24"/>
        </w:rPr>
        <w:t>为保障在离线与弱网络环境下的可用性，平台实施了多项优化措施。利用 HTTP/2 Server Push 及优化的 Cache-Control 策略对前端静态资源进行长期缓存，并通过内容哈希实现增量更新；应用 Shell 通过 Service Worker 缓存，确保在弱网或短暂离线时核心界面仍可快速加载。针对数据提交等操作，平台在检测到网络异常时会自动启用本地存储暂存数据，并提供明确的状态提示，待网络恢复后自动同步至服务器，确保业务流程不中断。</w:t>
      </w:r>
    </w:p>
    <w:p w14:paraId="5210E129">
      <w:pPr>
        <w:spacing w:line="360" w:lineRule="auto"/>
        <w:ind w:firstLine="480" w:firstLineChars="200"/>
        <w:rPr>
          <w:sz w:val="24"/>
        </w:rPr>
      </w:pPr>
    </w:p>
    <w:p w14:paraId="6C9ACF23">
      <w:pPr>
        <w:spacing w:line="360" w:lineRule="auto"/>
        <w:ind w:firstLine="480" w:firstLineChars="200"/>
        <w:rPr>
          <w:sz w:val="24"/>
        </w:rPr>
      </w:pPr>
      <w:r>
        <w:rPr>
          <w:rFonts w:hint="eastAsia"/>
          <w:sz w:val="24"/>
        </w:rPr>
        <w:t>最后，平台秉持包容性设计理念，全面支持无障碍访问。前端组件严格遵循 WAI-ARIA 标准，确保屏幕阅读器等辅助工具能够正确识别和朗读界面元素；同时提供完整的键盘导航支持与高对比度主题切换功能，以满足不同用户群体的访问需求，体现教育平台的公平性与人文关怀。</w:t>
      </w:r>
    </w:p>
    <w:p w14:paraId="0A096B7A">
      <w:pPr>
        <w:spacing w:line="360" w:lineRule="auto"/>
        <w:ind w:firstLine="480" w:firstLineChars="200"/>
        <w:rPr>
          <w:sz w:val="24"/>
        </w:rPr>
      </w:pPr>
    </w:p>
    <w:p w14:paraId="266CE13E">
      <w:pPr>
        <w:spacing w:line="360" w:lineRule="auto"/>
        <w:ind w:firstLine="480" w:firstLineChars="200"/>
        <w:rPr>
          <w:sz w:val="24"/>
        </w:rPr>
      </w:pPr>
      <w:r>
        <w:rPr>
          <w:rFonts w:hint="eastAsia"/>
          <w:sz w:val="24"/>
        </w:rPr>
        <w:t>通过上述多层次、精细化的技术设计，用户交互层确保了 AI 能力能够以最自然、便捷、可靠的方式渗透至校园的每一个数字化角落，真正实现从“人找服务”到“服务找人”的体验升级，为构建智慧教育新生态提供最后一公里的卓越支撑</w:t>
      </w:r>
      <w:r>
        <w:rPr>
          <w:sz w:val="24"/>
        </w:rPr>
        <w:t>。</w:t>
      </w:r>
    </w:p>
    <w:p w14:paraId="3A09CAA9">
      <w:pPr>
        <w:spacing w:line="360" w:lineRule="auto"/>
        <w:rPr>
          <w:sz w:val="24"/>
        </w:rPr>
      </w:pPr>
    </w:p>
    <w:p w14:paraId="24B085A5">
      <w:pPr>
        <w:numPr>
          <w:ilvl w:val="2"/>
          <w:numId w:val="1"/>
        </w:numPr>
        <w:spacing w:line="360" w:lineRule="auto"/>
        <w:outlineLvl w:val="2"/>
        <w:rPr>
          <w:b/>
          <w:bCs/>
          <w:sz w:val="28"/>
          <w:szCs w:val="28"/>
        </w:rPr>
      </w:pPr>
      <w:bookmarkStart w:id="31" w:name="_Toc221113256"/>
      <w:r>
        <w:rPr>
          <w:b/>
          <w:bCs/>
          <w:sz w:val="28"/>
          <w:szCs w:val="28"/>
        </w:rPr>
        <w:t>技术架构说明</w:t>
      </w:r>
      <w:bookmarkEnd w:id="31"/>
    </w:p>
    <w:p w14:paraId="2303D306">
      <w:pPr>
        <w:spacing w:line="360" w:lineRule="auto"/>
        <w:rPr>
          <w:sz w:val="24"/>
        </w:rPr>
      </w:pPr>
    </w:p>
    <w:p w14:paraId="64C35CFA">
      <w:pPr>
        <w:numPr>
          <w:ilvl w:val="3"/>
          <w:numId w:val="1"/>
        </w:numPr>
        <w:spacing w:line="360" w:lineRule="auto"/>
        <w:outlineLvl w:val="3"/>
        <w:rPr>
          <w:b/>
          <w:bCs/>
          <w:sz w:val="24"/>
        </w:rPr>
      </w:pPr>
      <w:bookmarkStart w:id="32" w:name="_Toc221113257"/>
      <w:r>
        <w:rPr>
          <w:b/>
          <w:bCs/>
          <w:sz w:val="24"/>
        </w:rPr>
        <w:t>微服务架构与云原生</w:t>
      </w:r>
      <w:bookmarkEnd w:id="32"/>
    </w:p>
    <w:p w14:paraId="35D2CDD2">
      <w:pPr>
        <w:spacing w:line="360" w:lineRule="auto"/>
        <w:rPr>
          <w:sz w:val="24"/>
        </w:rPr>
      </w:pPr>
    </w:p>
    <w:p w14:paraId="732EB373">
      <w:pPr>
        <w:spacing w:line="360" w:lineRule="auto"/>
        <w:ind w:firstLine="480" w:firstLineChars="200"/>
        <w:rPr>
          <w:sz w:val="24"/>
        </w:rPr>
      </w:pPr>
      <w:r>
        <w:rPr>
          <w:rFonts w:hint="eastAsia"/>
          <w:sz w:val="24"/>
        </w:rPr>
        <w:t>平台严格遵循微服务设计原则，确保各核心模块（如数据接入、知识库管理、模型服务等）具备高度独立性、可扩展性与可维护性。每个模块作为一个独立的微服务，拥有专属的代码仓库、独立的部署单元和清晰定义的API边界。这种解耦设计使得各模块可以独立开发、测试、部署与升级，显著提升开发效率与系统演进灵活性。</w:t>
      </w:r>
    </w:p>
    <w:p w14:paraId="61A72B86">
      <w:pPr>
        <w:spacing w:line="360" w:lineRule="auto"/>
        <w:ind w:firstLine="480" w:firstLineChars="200"/>
        <w:rPr>
          <w:sz w:val="24"/>
        </w:rPr>
      </w:pPr>
    </w:p>
    <w:p w14:paraId="653DB17B">
      <w:pPr>
        <w:spacing w:line="360" w:lineRule="auto"/>
        <w:ind w:firstLine="480" w:firstLineChars="200"/>
        <w:rPr>
          <w:sz w:val="24"/>
        </w:rPr>
      </w:pPr>
      <w:r>
        <w:rPr>
          <w:rFonts w:hint="eastAsia"/>
          <w:sz w:val="24"/>
        </w:rPr>
        <w:t>在服务间通信层面，平台采用轻量级gRPC作为高性能内部通信协议，利用其基于HTTP/2的多路复用、二进制编码和流式处理能力，显著降低通信延迟与资源消耗，尤其适用于AI模型推理、实时数据流处理等高并发、低延迟场景。同时，为保持与外部系统的广泛兼容性，平台对外暴露的API遵循RESTful规范，并通过OpenAPI 3.0标准进行文档化描述，便于第三方系统集成与开发者理解。</w:t>
      </w:r>
    </w:p>
    <w:p w14:paraId="0ACEBAEA">
      <w:pPr>
        <w:spacing w:line="360" w:lineRule="auto"/>
        <w:ind w:firstLine="480" w:firstLineChars="200"/>
        <w:rPr>
          <w:sz w:val="24"/>
        </w:rPr>
      </w:pPr>
    </w:p>
    <w:p w14:paraId="37E566D2">
      <w:pPr>
        <w:spacing w:line="360" w:lineRule="auto"/>
        <w:ind w:firstLine="480" w:firstLineChars="200"/>
        <w:rPr>
          <w:sz w:val="24"/>
        </w:rPr>
      </w:pPr>
      <w:r>
        <w:rPr>
          <w:rFonts w:hint="eastAsia"/>
          <w:sz w:val="24"/>
        </w:rPr>
        <w:t>为确保微服务架构的健壮性与可观测性，平台全面引入服务网格技术，选用Linkerd作为轻量级、高性能的云原生服务网格方案。Linkerd以透明代理的方式部署于每个微服务实例旁，自动为所有服务间通信注入双向TLS加密，实现“零信任”安全模型，确保即便在集群内部，服务间通信也具备强身份认证与传输加密。此外，Linkerd提供服务发现、负载均衡（支持轮询、最少请求等多种算法）、熔断器、重试与超时控制等关键能力，所有功能均通过声明式配置实现，无需修改应用代码。平台还利用Linkerd自动收集并暴露丰富的黄金指标，如请求成功率、延迟与吞吐量，为服务健康度监控与性能调优提供实时数据支撑。</w:t>
      </w:r>
    </w:p>
    <w:p w14:paraId="76A64886">
      <w:pPr>
        <w:spacing w:line="360" w:lineRule="auto"/>
        <w:ind w:firstLine="480" w:firstLineChars="200"/>
        <w:rPr>
          <w:sz w:val="24"/>
        </w:rPr>
      </w:pPr>
    </w:p>
    <w:p w14:paraId="64392C65">
      <w:pPr>
        <w:spacing w:line="360" w:lineRule="auto"/>
        <w:ind w:firstLine="480" w:firstLineChars="200"/>
        <w:rPr>
          <w:sz w:val="24"/>
        </w:rPr>
      </w:pPr>
      <w:r>
        <w:rPr>
          <w:rFonts w:hint="eastAsia"/>
          <w:sz w:val="24"/>
        </w:rPr>
        <w:t>在部署与运行环境方面，平台基于轻量级Kubernetes发行版K3s构建云原生底座。所有微服务均封装为符合OCI标准的Docker容器镜像，通过Kubernetes清单文件进行编排部署。K3s集群负责服务的自动调度、生命周期管理、自愈与弹性伸缩。每个微服务通过Kubernetes的Deployment进行副本管理，支持基于CPU/内存使用率或自定义指标的水平自动扩缩，从容应对业务负载波动。服务配置与敏感信息通过ConfigMap与Secrets对象进行集中管理，实现配置与代码分离。服务间依赖通过Kubernetes Service抽象进行寻址，结合Linkerd的服务网格能力，共同构建高效、可靠的服务治理体系。</w:t>
      </w:r>
    </w:p>
    <w:p w14:paraId="0069184E">
      <w:pPr>
        <w:spacing w:line="360" w:lineRule="auto"/>
        <w:ind w:firstLine="480" w:firstLineChars="200"/>
        <w:rPr>
          <w:sz w:val="24"/>
        </w:rPr>
      </w:pPr>
    </w:p>
    <w:p w14:paraId="5AD6143E">
      <w:pPr>
        <w:spacing w:line="360" w:lineRule="auto"/>
        <w:ind w:firstLine="480" w:firstLineChars="200"/>
        <w:rPr>
          <w:sz w:val="24"/>
        </w:rPr>
      </w:pPr>
      <w:r>
        <w:rPr>
          <w:rFonts w:hint="eastAsia"/>
          <w:sz w:val="24"/>
        </w:rPr>
        <w:t>通过微服务架构与云原生技术的深度融合，平台不仅实现了技术组件的模块化与标准化，更在可扩展性、可靠性、安全性与可运维性层面奠定了坚实基础，为常州工程职业技术学院的AI数智化应用提供了弹性、敏捷且持续演进的云原生技术基座</w:t>
      </w:r>
      <w:r>
        <w:rPr>
          <w:sz w:val="24"/>
        </w:rPr>
        <w:t>。</w:t>
      </w:r>
    </w:p>
    <w:p w14:paraId="61D3794C">
      <w:pPr>
        <w:spacing w:line="360" w:lineRule="auto"/>
        <w:ind w:firstLine="480" w:firstLineChars="200"/>
        <w:rPr>
          <w:sz w:val="24"/>
        </w:rPr>
      </w:pPr>
    </w:p>
    <w:p w14:paraId="08E13A9F">
      <w:pPr>
        <w:numPr>
          <w:ilvl w:val="3"/>
          <w:numId w:val="1"/>
        </w:numPr>
        <w:spacing w:line="360" w:lineRule="auto"/>
        <w:outlineLvl w:val="3"/>
        <w:rPr>
          <w:b/>
          <w:bCs/>
          <w:sz w:val="24"/>
        </w:rPr>
      </w:pPr>
      <w:bookmarkStart w:id="33" w:name="_Toc221113258"/>
      <w:r>
        <w:rPr>
          <w:b/>
          <w:bCs/>
          <w:sz w:val="24"/>
        </w:rPr>
        <w:t>前后端分离与开放生态</w:t>
      </w:r>
      <w:bookmarkEnd w:id="33"/>
    </w:p>
    <w:p w14:paraId="4392895A">
      <w:pPr>
        <w:spacing w:line="360" w:lineRule="auto"/>
        <w:rPr>
          <w:sz w:val="24"/>
        </w:rPr>
      </w:pPr>
    </w:p>
    <w:p w14:paraId="67AC263F">
      <w:pPr>
        <w:spacing w:line="360" w:lineRule="auto"/>
        <w:ind w:firstLine="480" w:firstLineChars="200"/>
        <w:rPr>
          <w:sz w:val="24"/>
        </w:rPr>
      </w:pPr>
      <w:r>
        <w:rPr>
          <w:sz w:val="24"/>
        </w:rPr>
        <w:t>前端采用Vue 3、TypeScript和Element Plus构建响应式管理控制台，与后端微服务完全解耦。这种分离架构使得前端可以独立演进，并易于适配不同终端。平台积极拥抱开源生态，核心组件均选用Apache 2.0、MIT等宽松许可证的开源项目，不仅规避了商业许可风险，还保证了技术的开放性和可定制性。</w:t>
      </w:r>
    </w:p>
    <w:p w14:paraId="524435F2">
      <w:pPr>
        <w:spacing w:line="360" w:lineRule="auto"/>
        <w:ind w:firstLine="480" w:firstLineChars="200"/>
        <w:rPr>
          <w:sz w:val="24"/>
        </w:rPr>
      </w:pPr>
    </w:p>
    <w:p w14:paraId="1DD676CF">
      <w:pPr>
        <w:numPr>
          <w:ilvl w:val="3"/>
          <w:numId w:val="1"/>
        </w:numPr>
        <w:spacing w:line="360" w:lineRule="auto"/>
        <w:outlineLvl w:val="3"/>
        <w:rPr>
          <w:b/>
          <w:bCs/>
          <w:sz w:val="24"/>
        </w:rPr>
      </w:pPr>
      <w:bookmarkStart w:id="34" w:name="_Toc221113259"/>
      <w:r>
        <w:rPr>
          <w:b/>
          <w:bCs/>
          <w:sz w:val="24"/>
        </w:rPr>
        <w:t>安全架构</w:t>
      </w:r>
      <w:bookmarkEnd w:id="34"/>
    </w:p>
    <w:p w14:paraId="47989A45">
      <w:pPr>
        <w:spacing w:line="360" w:lineRule="auto"/>
        <w:rPr>
          <w:sz w:val="24"/>
        </w:rPr>
      </w:pPr>
    </w:p>
    <w:p w14:paraId="44633650">
      <w:pPr>
        <w:spacing w:line="360" w:lineRule="auto"/>
        <w:ind w:firstLine="480" w:firstLineChars="200"/>
        <w:rPr>
          <w:sz w:val="24"/>
        </w:rPr>
      </w:pPr>
      <w:r>
        <w:rPr>
          <w:sz w:val="24"/>
        </w:rPr>
        <w:t>本平台的安全架构严格遵循 “纵深防御、主动监测、零信任、全链路可观测” 的设计理念，全面对标并落实 《网络安全等级保护基本要求》三级 标准，确保平台在云原生、微服务架构下的安全性、可靠性与合规性。安全能力贯穿基础设施、网络、应用、数据及运维各层，形成立体化防护体系。</w:t>
      </w:r>
    </w:p>
    <w:p w14:paraId="2D276E76">
      <w:pPr>
        <w:spacing w:line="360" w:lineRule="auto"/>
        <w:ind w:firstLine="480" w:firstLineChars="200"/>
        <w:rPr>
          <w:sz w:val="24"/>
        </w:rPr>
      </w:pPr>
    </w:p>
    <w:p w14:paraId="5CC55EB6">
      <w:pPr>
        <w:spacing w:line="360" w:lineRule="auto"/>
        <w:ind w:firstLine="480" w:firstLineChars="200"/>
        <w:rPr>
          <w:sz w:val="24"/>
        </w:rPr>
      </w:pPr>
      <w:r>
        <w:rPr>
          <w:rFonts w:hint="eastAsia"/>
          <w:sz w:val="24"/>
        </w:rPr>
        <w:t>1.</w:t>
      </w:r>
      <w:r>
        <w:rPr>
          <w:sz w:val="24"/>
        </w:rPr>
        <w:t>网络安全：零信任与最小权限访问控制</w:t>
      </w:r>
    </w:p>
    <w:p w14:paraId="1ACF4EA7">
      <w:pPr>
        <w:spacing w:line="360" w:lineRule="auto"/>
        <w:ind w:firstLine="480" w:firstLineChars="200"/>
        <w:rPr>
          <w:sz w:val="24"/>
        </w:rPr>
      </w:pPr>
      <w:r>
        <w:rPr>
          <w:sz w:val="24"/>
        </w:rPr>
        <w:t>在网络安全层面，平台构建了基于零信任原则的精细化网络管控体系。通过 Linkerd 服务网格 实现自动化的 双向 mTLS（Mutual TLS） 加密，确保所有微服务间通信都必须经过双向身份验证与端到端加密，从根本上杜绝了中间人攻击与服务间横向渗透的风险。同时，平台利用 Kubernetes Network Policies 为每个微服务（如数据湖服务、AI引擎服务）定义严格的入站与出站规则，实施网络层面的“最小权限”访问模型，例如仅允许API网关访问特定的前端服务端口。在宿主机层面，通过配置 iptables/nftables 防火墙规则，并结合 Cilium 等云原生网络插件进行策略的强制实施与可视化审计，进一步加固了网络边界。对于外部流量，所有请求必须统一经过 Apache APISIX API网关，该网关集成了WAF模块以防御SQL注入、XSS等常见Web攻击，并与云平台或本地设施联动，提供DDoS防护与流量清洗能力，保障服务在高并发或恶意攻击场景下的持续可用性。</w:t>
      </w:r>
    </w:p>
    <w:p w14:paraId="1E090AAD">
      <w:pPr>
        <w:spacing w:line="360" w:lineRule="auto"/>
        <w:ind w:firstLine="480" w:firstLineChars="200"/>
        <w:rPr>
          <w:sz w:val="24"/>
        </w:rPr>
      </w:pPr>
    </w:p>
    <w:p w14:paraId="5BEB568D">
      <w:pPr>
        <w:spacing w:line="360" w:lineRule="auto"/>
        <w:ind w:firstLine="480" w:firstLineChars="200"/>
        <w:rPr>
          <w:sz w:val="24"/>
        </w:rPr>
      </w:pPr>
      <w:r>
        <w:rPr>
          <w:rFonts w:hint="eastAsia"/>
          <w:sz w:val="24"/>
        </w:rPr>
        <w:t>2.</w:t>
      </w:r>
      <w:r>
        <w:rPr>
          <w:sz w:val="24"/>
        </w:rPr>
        <w:t>应用与数据安全：身份、加密与隐私保护</w:t>
      </w:r>
    </w:p>
    <w:p w14:paraId="6E6458E7">
      <w:pPr>
        <w:spacing w:line="360" w:lineRule="auto"/>
        <w:ind w:firstLine="480" w:firstLineChars="200"/>
        <w:rPr>
          <w:sz w:val="24"/>
        </w:rPr>
      </w:pPr>
      <w:r>
        <w:rPr>
          <w:sz w:val="24"/>
        </w:rPr>
        <w:t>在应用与数据安全领域，平台建立了从身份认证到数据全生命周期的综合防护机制。身份管理层面，平台通过 Keycloak 与学校统一身份认证系统深度集成，支持 OAuth 2.0 / OpenID Connect 协议，实现安全的单点登录。授权体系融合了 RBAC（基于角色的访问控制） 与 ABAC（基于属性的访问控制） ，不仅预设角色分配基础权限，更能根据用户部门、数据敏感度、时间等属性进行动态权限决策，例如限制仅本学院教师可在工作时段访问特定学生数据，所有权限变更均被详细记录以备审计。数据安全方面，平台强制使用 TLS 1.3 协议对所有数据传输通道进行加密，并借助服务网格实现内部通信的自动mTLS保护。对于静态数据，采用多层次加密策略：对数据库中的敏感字段（如身份证号）使用 国密SM4 或 AES-256-GCM 算法进行应用层加密，密钥由Keycloak或HashiCorp Vault统一管理；对象存储启用服务器端加密；即使是非明文存储的向量数据，其存储卷也进行了加密处理。此外，平台集成了动态数据脱敏功能，在数据查询时根据用户权限对敏感信息进行实时掩码，并在数据用于分析或训练前，采用 k-匿名化 或 差分隐私 技术进行匿名化处理，确保个人隐私得到充分保护。</w:t>
      </w:r>
    </w:p>
    <w:p w14:paraId="1AB39586">
      <w:pPr>
        <w:spacing w:line="360" w:lineRule="auto"/>
        <w:ind w:firstLine="480" w:firstLineChars="200"/>
        <w:rPr>
          <w:sz w:val="24"/>
        </w:rPr>
      </w:pPr>
    </w:p>
    <w:p w14:paraId="767BF60A">
      <w:pPr>
        <w:spacing w:line="360" w:lineRule="auto"/>
        <w:ind w:firstLine="480" w:firstLineChars="200"/>
        <w:rPr>
          <w:sz w:val="24"/>
        </w:rPr>
      </w:pPr>
      <w:r>
        <w:rPr>
          <w:rFonts w:hint="eastAsia"/>
          <w:sz w:val="24"/>
        </w:rPr>
        <w:t>3.</w:t>
      </w:r>
      <w:r>
        <w:rPr>
          <w:sz w:val="24"/>
        </w:rPr>
        <w:t>审计与追溯：全链路可观测与行为记录</w:t>
      </w:r>
    </w:p>
    <w:p w14:paraId="0C9ADEF6">
      <w:pPr>
        <w:spacing w:line="360" w:lineRule="auto"/>
        <w:ind w:firstLine="480" w:firstLineChars="200"/>
        <w:rPr>
          <w:sz w:val="24"/>
        </w:rPr>
      </w:pPr>
      <w:r>
        <w:rPr>
          <w:sz w:val="24"/>
        </w:rPr>
        <w:t>为满足合规性要求并实现高效运维，平台构建了完善的全链路审计与追溯体系。所有用户操作、API调用、数据访问及模型推理过程均生成标准化的JSON结构化日志，通过Fluentd日志收集器统一汇聚至Elasticsearch集群集中存储与分析。日志内容详尽，涵盖时间戳、用户身份、操作行为、资源对象、网络地址及结果状态等关键字段，完全满足等保三级对审计日志完整性、保密性与可追溯性的强制要求。同时，平台集成OpenTelemetry标准实现分布式链路追踪，能够完整记录一次请求从网关入口、历经各个微服务、调用AI模型直至访问数据库的全路径，追踪数据存储于Jaeger，并与指标、日志系统关联，支持基于Trace ID的端到端问题定位与性能分析。在此基础上，平台利用Elasticsearch内置的机器学习异常检测能力，持续学习用户和系统的正常行为模式，能够自动识别并预警异常登录、非常规时间的大批量数据访问等高危操作，变被动审计为主动风险感知。</w:t>
      </w:r>
    </w:p>
    <w:p w14:paraId="2C684AA0">
      <w:pPr>
        <w:spacing w:line="360" w:lineRule="auto"/>
        <w:ind w:firstLine="480" w:firstLineChars="200"/>
        <w:rPr>
          <w:sz w:val="24"/>
        </w:rPr>
      </w:pPr>
    </w:p>
    <w:p w14:paraId="3803AC00">
      <w:pPr>
        <w:spacing w:line="360" w:lineRule="auto"/>
        <w:ind w:firstLine="480" w:firstLineChars="200"/>
        <w:rPr>
          <w:sz w:val="24"/>
        </w:rPr>
      </w:pPr>
      <w:r>
        <w:rPr>
          <w:rFonts w:hint="eastAsia"/>
          <w:sz w:val="24"/>
        </w:rPr>
        <w:t>4.</w:t>
      </w:r>
      <w:r>
        <w:rPr>
          <w:sz w:val="24"/>
        </w:rPr>
        <w:t>安全运维：持续监测、漏洞管理与应急响应</w:t>
      </w:r>
    </w:p>
    <w:p w14:paraId="7FEA4799">
      <w:pPr>
        <w:spacing w:line="360" w:lineRule="auto"/>
        <w:ind w:firstLine="480" w:firstLineChars="200"/>
        <w:rPr>
          <w:sz w:val="24"/>
        </w:rPr>
      </w:pPr>
      <w:r>
        <w:rPr>
          <w:sz w:val="24"/>
        </w:rPr>
        <w:t>安全运维体系致力于实现持续的风险监控、快速的漏洞修复与自动化的应急响应。在基础设施安全层面，平台在宿主机部署Wazuh代理进行持续的安全监控，涵盖文件完整性校验、异常进程检测、特权操作审计等功能，并与安全运营中心联动告警。容器安全方面，在CI/CD流水线中集成Trivy等镜像扫描工具，确保所有部署的Docker镜像均经过已知漏洞扫描，阻断含高危漏洞的镜像进入生产环境；运行时则使用Falco等工具监控容器内的异常行为。平台建立了主动的漏洞管理机制，持续监控国家漏洞库及主流开源组件安全公告，并制定月度安全补丁窗口，在充分测试后于业务低峰期自动实施滚动更新。为了提升事件响应效率，平台构建了基于ChatOps的自动化应急响应流程，将来自Wazuh、Prometheus等监控系统的安全告警自动推送至钉钉/飞书等协作工具，并@相关责任人，同时可触发预设的应急响应剧本，例如在检测到疑似勒索软件行为时自动隔离受影响容器并通知安全团队，实现分钟级的初始响应。</w:t>
      </w:r>
    </w:p>
    <w:p w14:paraId="59C9C359">
      <w:pPr>
        <w:spacing w:line="360" w:lineRule="auto"/>
        <w:ind w:firstLine="480" w:firstLineChars="200"/>
        <w:rPr>
          <w:sz w:val="24"/>
        </w:rPr>
      </w:pPr>
    </w:p>
    <w:p w14:paraId="2C581675">
      <w:pPr>
        <w:spacing w:line="360" w:lineRule="auto"/>
        <w:ind w:firstLine="480" w:firstLineChars="200"/>
        <w:rPr>
          <w:sz w:val="24"/>
        </w:rPr>
      </w:pPr>
      <w:r>
        <w:rPr>
          <w:rFonts w:hint="eastAsia"/>
          <w:sz w:val="24"/>
        </w:rPr>
        <w:t>5.</w:t>
      </w:r>
      <w:r>
        <w:rPr>
          <w:sz w:val="24"/>
        </w:rPr>
        <w:t>安全合规与审计报告</w:t>
      </w:r>
    </w:p>
    <w:p w14:paraId="4A625A46">
      <w:pPr>
        <w:spacing w:line="360" w:lineRule="auto"/>
        <w:ind w:firstLine="480" w:firstLineChars="200"/>
        <w:rPr>
          <w:sz w:val="24"/>
        </w:rPr>
      </w:pPr>
      <w:r>
        <w:rPr>
          <w:sz w:val="24"/>
        </w:rPr>
        <w:t>平台通过自动化工具与定期评估相结合的方式，确保持续符合安全合规要求。集成OpenSCAP等自动化合规扫描工具，定期对系统配置进行基线检查，验证其是否符合等保三级等相关标准。每半年委托第三方或内部专业团队进行一次深度的渗透测试与安全风险评估，并出具详细的《系统安全评估报告》。此外，平台支持按月或按季度自动生成多项安全审计报表，包括用户行为分析报告、数据访问热点图、安全事件统计与趋势分析等，为学校安全管理部门的决策提供持续、客观的数据支撑。</w:t>
      </w:r>
    </w:p>
    <w:p w14:paraId="3A2E0C1E">
      <w:pPr>
        <w:spacing w:line="360" w:lineRule="auto"/>
        <w:rPr>
          <w:sz w:val="24"/>
        </w:rPr>
      </w:pPr>
    </w:p>
    <w:p w14:paraId="1393A8D4">
      <w:pPr>
        <w:spacing w:line="360" w:lineRule="auto"/>
        <w:ind w:firstLine="480" w:firstLineChars="200"/>
        <w:rPr>
          <w:sz w:val="24"/>
        </w:rPr>
      </w:pPr>
      <w:r>
        <w:rPr>
          <w:sz w:val="24"/>
        </w:rPr>
        <w:t>此安全架构深度融合云原生、零信任与智能可观测技术，构建了从网络、身份、数据到运维的多层次主动防御体系。它不仅全面满足等级保护三级要求，更为平台提供了 内生安全、持续监测、快速响应 的能力，确保常州工程职业技术学院的 AI 数智平台在承载核心业务、处理敏感数据的同时，具备抵御现代网络安全威胁的韧性，为学校教育数字化转型构筑可信、可靠、可控的技术基石。</w:t>
      </w:r>
    </w:p>
    <w:p w14:paraId="22C07CE6">
      <w:pPr>
        <w:spacing w:line="360" w:lineRule="auto"/>
        <w:ind w:firstLine="480" w:firstLineChars="200"/>
        <w:rPr>
          <w:sz w:val="24"/>
        </w:rPr>
      </w:pPr>
    </w:p>
    <w:p w14:paraId="4D8439A7">
      <w:pPr>
        <w:spacing w:line="360" w:lineRule="auto"/>
        <w:ind w:firstLine="480" w:firstLineChars="200"/>
        <w:rPr>
          <w:sz w:val="24"/>
        </w:rPr>
      </w:pPr>
    </w:p>
    <w:p w14:paraId="64A49B0D">
      <w:pPr>
        <w:spacing w:line="360" w:lineRule="auto"/>
        <w:ind w:firstLine="480" w:firstLineChars="200"/>
        <w:rPr>
          <w:sz w:val="24"/>
        </w:rPr>
      </w:pPr>
    </w:p>
    <w:p w14:paraId="19DD2455">
      <w:pPr>
        <w:spacing w:line="360" w:lineRule="auto"/>
        <w:ind w:firstLine="480" w:firstLineChars="200"/>
        <w:rPr>
          <w:sz w:val="24"/>
        </w:rPr>
      </w:pPr>
    </w:p>
    <w:p w14:paraId="53C785DA">
      <w:pPr>
        <w:spacing w:line="360" w:lineRule="auto"/>
        <w:ind w:firstLine="480" w:firstLineChars="200"/>
        <w:rPr>
          <w:sz w:val="24"/>
        </w:rPr>
      </w:pPr>
    </w:p>
    <w:p w14:paraId="2866E625">
      <w:pPr>
        <w:spacing w:line="360" w:lineRule="auto"/>
        <w:ind w:firstLine="480" w:firstLineChars="200"/>
        <w:rPr>
          <w:sz w:val="24"/>
        </w:rPr>
      </w:pPr>
    </w:p>
    <w:p w14:paraId="0E97ED24">
      <w:pPr>
        <w:spacing w:line="360" w:lineRule="auto"/>
        <w:ind w:firstLine="480" w:firstLineChars="200"/>
        <w:rPr>
          <w:sz w:val="24"/>
        </w:rPr>
      </w:pPr>
    </w:p>
    <w:p w14:paraId="75712D6E">
      <w:pPr>
        <w:spacing w:line="360" w:lineRule="auto"/>
        <w:ind w:firstLine="480" w:firstLineChars="200"/>
        <w:rPr>
          <w:sz w:val="24"/>
        </w:rPr>
      </w:pPr>
    </w:p>
    <w:p w14:paraId="2B1B8B75">
      <w:pPr>
        <w:spacing w:line="360" w:lineRule="auto"/>
        <w:ind w:firstLine="480" w:firstLineChars="200"/>
        <w:rPr>
          <w:sz w:val="24"/>
        </w:rPr>
      </w:pPr>
    </w:p>
    <w:p w14:paraId="5AC1C817">
      <w:pPr>
        <w:spacing w:line="360" w:lineRule="auto"/>
        <w:ind w:firstLine="480" w:firstLineChars="200"/>
        <w:rPr>
          <w:sz w:val="24"/>
        </w:rPr>
      </w:pPr>
    </w:p>
    <w:p w14:paraId="57260A39">
      <w:pPr>
        <w:numPr>
          <w:ilvl w:val="1"/>
          <w:numId w:val="1"/>
        </w:numPr>
        <w:spacing w:line="360" w:lineRule="auto"/>
        <w:outlineLvl w:val="1"/>
        <w:rPr>
          <w:b/>
          <w:bCs/>
          <w:sz w:val="30"/>
          <w:szCs w:val="30"/>
        </w:rPr>
      </w:pPr>
      <w:bookmarkStart w:id="35" w:name="_Toc221113260"/>
      <w:r>
        <w:rPr>
          <w:rFonts w:hint="eastAsia"/>
          <w:b/>
          <w:bCs/>
          <w:sz w:val="30"/>
          <w:szCs w:val="30"/>
        </w:rPr>
        <w:t>平台核心模块设计</w:t>
      </w:r>
      <w:bookmarkEnd w:id="35"/>
    </w:p>
    <w:p w14:paraId="69630DD0">
      <w:pPr>
        <w:spacing w:line="360" w:lineRule="auto"/>
        <w:rPr>
          <w:sz w:val="24"/>
        </w:rPr>
      </w:pPr>
    </w:p>
    <w:p w14:paraId="1815CDFD">
      <w:pPr>
        <w:spacing w:line="360" w:lineRule="auto"/>
        <w:ind w:firstLine="420" w:firstLineChars="200"/>
        <w:rPr>
          <w:sz w:val="24"/>
        </w:rPr>
      </w:pPr>
      <w:r>
        <w:drawing>
          <wp:anchor distT="0" distB="0" distL="114300" distR="114300" simplePos="0" relativeHeight="251667456" behindDoc="0" locked="0" layoutInCell="1" allowOverlap="1">
            <wp:simplePos x="0" y="0"/>
            <wp:positionH relativeFrom="column">
              <wp:posOffset>-150495</wp:posOffset>
            </wp:positionH>
            <wp:positionV relativeFrom="paragraph">
              <wp:posOffset>1399540</wp:posOffset>
            </wp:positionV>
            <wp:extent cx="5630545" cy="2712720"/>
            <wp:effectExtent l="133350" t="114300" r="141605" b="163830"/>
            <wp:wrapSquare wrapText="bothSides"/>
            <wp:docPr id="2245017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501707" name="图片 1"/>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630545" cy="2712720"/>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sz w:val="24"/>
        </w:rPr>
        <w:t>平台的各个核心模块基于“数据驱动、AI赋能、低码开发、全链路可观测”的总体设计思路，采用成熟的微服务架构和开源技术栈构建，确保各模块间松耦合、高内聚，并能通过标准化的API和服务网格（Linkerd）进行高效协同。以下对</w:t>
      </w:r>
      <w:r>
        <w:rPr>
          <w:rFonts w:hint="eastAsia"/>
          <w:sz w:val="24"/>
        </w:rPr>
        <w:t>图19所示的</w:t>
      </w:r>
      <w:r>
        <w:rPr>
          <w:sz w:val="24"/>
        </w:rPr>
        <w:t>各核心模块的设计进行具体阐述。</w:t>
      </w:r>
    </w:p>
    <w:p w14:paraId="178C2C31">
      <w:pPr>
        <w:pStyle w:val="2"/>
        <w:spacing w:line="360" w:lineRule="auto"/>
        <w:ind w:firstLine="422" w:firstLineChars="200"/>
        <w:jc w:val="center"/>
        <w:rPr>
          <w:rFonts w:asciiTheme="minorHAnsi" w:hAnsiTheme="minorHAnsi" w:eastAsiaTheme="minorEastAsia"/>
          <w:b/>
          <w:bCs/>
          <w:sz w:val="21"/>
        </w:rPr>
      </w:pPr>
      <w:r>
        <w:rPr>
          <w:rFonts w:hint="eastAsia" w:asciiTheme="minorHAnsi" w:hAnsiTheme="minorHAnsi" w:eastAsiaTheme="minorEastAsia"/>
          <w:b/>
          <w:bCs/>
          <w:sz w:val="21"/>
        </w:rPr>
        <w:t>图19 平台核心模块设计</w:t>
      </w:r>
    </w:p>
    <w:p w14:paraId="77882000">
      <w:pPr>
        <w:numPr>
          <w:ilvl w:val="2"/>
          <w:numId w:val="1"/>
        </w:numPr>
        <w:spacing w:line="360" w:lineRule="auto"/>
        <w:outlineLvl w:val="2"/>
        <w:rPr>
          <w:b/>
          <w:bCs/>
          <w:sz w:val="28"/>
          <w:szCs w:val="28"/>
        </w:rPr>
      </w:pPr>
      <w:bookmarkStart w:id="36" w:name="_Toc221113261"/>
      <w:r>
        <w:rPr>
          <w:b/>
          <w:bCs/>
          <w:sz w:val="28"/>
          <w:szCs w:val="28"/>
        </w:rPr>
        <w:t>数据湖管理模块</w:t>
      </w:r>
      <w:bookmarkEnd w:id="36"/>
    </w:p>
    <w:p w14:paraId="3C4095CA">
      <w:pPr>
        <w:spacing w:line="360" w:lineRule="auto"/>
        <w:rPr>
          <w:sz w:val="24"/>
        </w:rPr>
      </w:pPr>
    </w:p>
    <w:p w14:paraId="14BF2E8B">
      <w:pPr>
        <w:spacing w:line="360" w:lineRule="auto"/>
        <w:ind w:firstLine="480" w:firstLineChars="200"/>
        <w:rPr>
          <w:sz w:val="24"/>
        </w:rPr>
      </w:pPr>
      <w:r>
        <w:rPr>
          <w:sz w:val="24"/>
        </w:rPr>
        <w:t>本模块旨在构建一个统一、开放、可追溯的数据资产中心，为上层AI应用提供高质量、标准化的数据燃料。其设计遵循数据湖仓一体的先进理念，核心流程如下图</w:t>
      </w:r>
      <w:r>
        <w:rPr>
          <w:rFonts w:hint="eastAsia"/>
          <w:sz w:val="24"/>
        </w:rPr>
        <w:t>20</w:t>
      </w:r>
      <w:r>
        <w:rPr>
          <w:sz w:val="24"/>
        </w:rPr>
        <w:t>所示</w:t>
      </w:r>
      <w:r>
        <w:rPr>
          <w:rFonts w:hint="eastAsia"/>
          <w:sz w:val="24"/>
        </w:rPr>
        <w:t>。</w:t>
      </w:r>
    </w:p>
    <w:p w14:paraId="05693AE7">
      <w:pPr>
        <w:spacing w:line="360" w:lineRule="auto"/>
        <w:rPr>
          <w:sz w:val="24"/>
        </w:rPr>
      </w:pPr>
    </w:p>
    <w:p w14:paraId="3105706F">
      <w:pPr>
        <w:spacing w:line="360" w:lineRule="auto"/>
        <w:jc w:val="center"/>
        <w:rPr>
          <w:sz w:val="24"/>
        </w:rPr>
      </w:pPr>
      <w:r>
        <w:rPr>
          <w:sz w:val="24"/>
        </w:rPr>
        <w:drawing>
          <wp:inline distT="0" distB="0" distL="114300" distR="114300">
            <wp:extent cx="5264785" cy="5932805"/>
            <wp:effectExtent l="0" t="0" r="5715" b="10795"/>
            <wp:docPr id="3" name="图片 3" descr="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3.1"/>
                    <pic:cNvPicPr>
                      <a:picLocks noChangeAspect="1"/>
                    </pic:cNvPicPr>
                  </pic:nvPicPr>
                  <pic:blipFill>
                    <a:blip r:embed="rId24"/>
                    <a:stretch>
                      <a:fillRect/>
                    </a:stretch>
                  </pic:blipFill>
                  <pic:spPr>
                    <a:xfrm>
                      <a:off x="0" y="0"/>
                      <a:ext cx="5264785" cy="5932805"/>
                    </a:xfrm>
                    <a:prstGeom prst="rect">
                      <a:avLst/>
                    </a:prstGeom>
                  </pic:spPr>
                </pic:pic>
              </a:graphicData>
            </a:graphic>
          </wp:inline>
        </w:drawing>
      </w:r>
    </w:p>
    <w:p w14:paraId="38B714DC">
      <w:pPr>
        <w:pStyle w:val="2"/>
        <w:spacing w:line="360" w:lineRule="auto"/>
        <w:ind w:firstLine="422" w:firstLineChars="200"/>
        <w:jc w:val="center"/>
        <w:rPr>
          <w:rFonts w:asciiTheme="minorHAnsi" w:hAnsiTheme="minorHAnsi" w:eastAsiaTheme="minorEastAsia"/>
          <w:b/>
          <w:bCs/>
          <w:sz w:val="21"/>
        </w:rPr>
      </w:pPr>
      <w:r>
        <w:rPr>
          <w:rFonts w:hint="eastAsia" w:asciiTheme="minorHAnsi" w:hAnsiTheme="minorHAnsi" w:eastAsiaTheme="minorEastAsia"/>
          <w:b/>
          <w:bCs/>
          <w:sz w:val="21"/>
        </w:rPr>
        <w:t xml:space="preserve">图20 </w:t>
      </w:r>
      <w:r>
        <w:rPr>
          <w:rFonts w:asciiTheme="minorHAnsi" w:hAnsiTheme="minorHAnsi" w:eastAsiaTheme="minorEastAsia"/>
          <w:b/>
          <w:bCs/>
          <w:sz w:val="21"/>
        </w:rPr>
        <w:t>数据湖仓一体</w:t>
      </w:r>
      <w:r>
        <w:rPr>
          <w:rFonts w:hint="eastAsia" w:asciiTheme="minorHAnsi" w:hAnsiTheme="minorHAnsi" w:eastAsiaTheme="minorEastAsia"/>
          <w:b/>
          <w:bCs/>
          <w:sz w:val="21"/>
        </w:rPr>
        <w:t>流程图</w:t>
      </w:r>
    </w:p>
    <w:p w14:paraId="62A82126">
      <w:pPr>
        <w:spacing w:line="360" w:lineRule="auto"/>
      </w:pPr>
    </w:p>
    <w:p w14:paraId="670C97DA">
      <w:pPr>
        <w:spacing w:line="360" w:lineRule="auto"/>
        <w:ind w:firstLine="480" w:firstLineChars="200"/>
        <w:rPr>
          <w:sz w:val="24"/>
        </w:rPr>
      </w:pPr>
      <w:r>
        <w:rPr>
          <w:rFonts w:hint="eastAsia"/>
          <w:sz w:val="24"/>
        </w:rPr>
        <w:drawing>
          <wp:anchor distT="0" distB="0" distL="114300" distR="114300" simplePos="0" relativeHeight="251668480" behindDoc="0" locked="0" layoutInCell="1" allowOverlap="1">
            <wp:simplePos x="0" y="0"/>
            <wp:positionH relativeFrom="column">
              <wp:posOffset>-509270</wp:posOffset>
            </wp:positionH>
            <wp:positionV relativeFrom="paragraph">
              <wp:posOffset>2652395</wp:posOffset>
            </wp:positionV>
            <wp:extent cx="6271260" cy="3170555"/>
            <wp:effectExtent l="0" t="0" r="0" b="0"/>
            <wp:wrapSquare wrapText="bothSides"/>
            <wp:docPr id="20" name="图片 20" descr="主题数据开发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主题数据开发界面"/>
                    <pic:cNvPicPr>
                      <a:picLocks noChangeAspect="1"/>
                    </pic:cNvPicPr>
                  </pic:nvPicPr>
                  <pic:blipFill>
                    <a:blip r:embed="rId25" cstate="print">
                      <a:extLst>
                        <a:ext uri="{28A0092B-C50C-407E-A947-70E740481C1C}">
                          <a14:useLocalDpi xmlns:a14="http://schemas.microsoft.com/office/drawing/2010/main" val="0"/>
                        </a:ext>
                      </a:extLst>
                    </a:blip>
                    <a:srcRect t="6689"/>
                    <a:stretch>
                      <a:fillRect/>
                    </a:stretch>
                  </pic:blipFill>
                  <pic:spPr>
                    <a:xfrm>
                      <a:off x="0" y="0"/>
                      <a:ext cx="6271260" cy="3170555"/>
                    </a:xfrm>
                    <a:prstGeom prst="rect">
                      <a:avLst/>
                    </a:prstGeom>
                    <a:ln>
                      <a:noFill/>
                    </a:ln>
                  </pic:spPr>
                </pic:pic>
              </a:graphicData>
            </a:graphic>
          </wp:anchor>
        </w:drawing>
      </w:r>
      <w:r>
        <w:rPr>
          <w:rFonts w:hint="eastAsia"/>
          <w:sz w:val="24"/>
        </w:rPr>
        <w:t>基于Apache SeaTunnel构建的统一数据集成框架，能够通过其丰富的连接器库可配置化地接入MySQL、PostgreSQL、API、FTP/SFTP、文件等多类数据源，系统提供可视化配置界面以支持全量及基于时间戳或日志的增量数据同步策略，并实时记录数据接入日志。为确保核心业务数据安全高效流入平台，与校本数据中心的对接通过定制化连接器实现。在元数据管理方面，系统采用Apache Atlas作为核心，所有接入的数据表、字段及API接口均自动注册于Atlas中形成全局数据目录，同时自动捕获并维护完整的数据血缘关系，例如记录从源数据表经ETL处理至主题表、再到最终API接口的完整链路，实现数据资产的端到端可追溯性。</w:t>
      </w:r>
    </w:p>
    <w:p w14:paraId="33F41CDC">
      <w:pPr>
        <w:pStyle w:val="2"/>
        <w:spacing w:line="360" w:lineRule="auto"/>
        <w:jc w:val="center"/>
        <w:rPr>
          <w:rFonts w:asciiTheme="minorHAnsi" w:hAnsiTheme="minorHAnsi" w:eastAsiaTheme="minorEastAsia"/>
          <w:b/>
          <w:bCs/>
          <w:sz w:val="21"/>
        </w:rPr>
      </w:pPr>
    </w:p>
    <w:p w14:paraId="692A795C">
      <w:pPr>
        <w:pStyle w:val="2"/>
        <w:spacing w:line="360" w:lineRule="auto"/>
        <w:jc w:val="center"/>
        <w:rPr>
          <w:rFonts w:asciiTheme="minorHAnsi" w:hAnsiTheme="minorHAnsi" w:eastAsiaTheme="minorEastAsia"/>
          <w:b/>
          <w:bCs/>
          <w:sz w:val="21"/>
        </w:rPr>
      </w:pPr>
      <w:r>
        <w:rPr>
          <w:rFonts w:hint="eastAsia" w:asciiTheme="minorHAnsi" w:hAnsiTheme="minorHAnsi" w:eastAsiaTheme="minorEastAsia"/>
          <w:b/>
          <w:bCs/>
          <w:sz w:val="21"/>
        </w:rPr>
        <w:t>图21 主题数据开发界面</w:t>
      </w:r>
    </w:p>
    <w:p w14:paraId="1D7E9F3B">
      <w:pPr>
        <w:spacing w:line="360" w:lineRule="auto"/>
        <w:ind w:firstLine="480" w:firstLineChars="200"/>
        <w:rPr>
          <w:sz w:val="24"/>
        </w:rPr>
      </w:pPr>
    </w:p>
    <w:p w14:paraId="1DAF67FD">
      <w:pPr>
        <w:spacing w:line="360" w:lineRule="auto"/>
        <w:ind w:firstLine="480" w:firstLineChars="200"/>
        <w:rPr>
          <w:sz w:val="24"/>
        </w:rPr>
      </w:pPr>
      <w:r>
        <w:rPr>
          <w:rFonts w:hint="eastAsia"/>
          <w:sz w:val="24"/>
        </w:rPr>
        <w:t>在主题与标签数据开发环节，系统提供手动与智能两种模式：手动模式下用户可通过基于Apache Hop的可视化界面拖拽组件，执行多表关联、过滤、聚合等操作，构建如“学生画像”、“课程评价”等面向业务主题的数据模型；智能模式下则集成Apache Spark MLlib的关联规则分析等算法，辅助发掘数据间潜在关系并推荐主题模型。标签数据开发方面，系统提供标签工厂功能，允许用户通过界面定义标签规则（例如将“高潜力学生”标签规则定义为“平均成绩 &gt; 85 且 参与项目数 &gt;= 2”），后台将规则编译为Apache Flink流处理任务或Spark SQL批处理任务，对底层数据进行实时或定期计算并生成标签结果，标签支持权重设置并存储于PostgreSQL的专用标签表中以供快速查询。核心标签数据表设计如下表8所示。</w:t>
      </w:r>
    </w:p>
    <w:p w14:paraId="6D35084F">
      <w:pPr>
        <w:pStyle w:val="2"/>
        <w:spacing w:line="360" w:lineRule="auto"/>
        <w:ind w:firstLine="422" w:firstLineChars="200"/>
        <w:jc w:val="center"/>
        <w:rPr>
          <w:rFonts w:asciiTheme="minorHAnsi" w:hAnsiTheme="minorHAnsi" w:eastAsiaTheme="minorEastAsia"/>
          <w:b/>
          <w:bCs/>
          <w:sz w:val="21"/>
        </w:rPr>
      </w:pPr>
      <w:r>
        <w:rPr>
          <w:rFonts w:hint="eastAsia" w:asciiTheme="minorHAnsi" w:hAnsiTheme="minorHAnsi" w:eastAsiaTheme="minorEastAsia"/>
          <w:b/>
          <w:bCs/>
          <w:sz w:val="21"/>
        </w:rPr>
        <w:t>表8 标签数据核心表结构设计</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0"/>
        <w:gridCol w:w="2841"/>
        <w:gridCol w:w="2841"/>
      </w:tblGrid>
      <w:tr w14:paraId="0C858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268CAFC5">
            <w:pPr>
              <w:spacing w:line="360" w:lineRule="auto"/>
              <w:jc w:val="center"/>
              <w:rPr>
                <w:b/>
                <w:bCs/>
                <w:sz w:val="24"/>
              </w:rPr>
            </w:pPr>
            <w:r>
              <w:rPr>
                <w:rFonts w:hint="eastAsia"/>
                <w:b/>
                <w:bCs/>
                <w:sz w:val="24"/>
              </w:rPr>
              <w:t>字段</w:t>
            </w:r>
          </w:p>
        </w:tc>
        <w:tc>
          <w:tcPr>
            <w:tcW w:w="2841" w:type="dxa"/>
          </w:tcPr>
          <w:p w14:paraId="7E3FCFC9">
            <w:pPr>
              <w:spacing w:line="360" w:lineRule="auto"/>
              <w:jc w:val="center"/>
              <w:rPr>
                <w:b/>
                <w:bCs/>
                <w:sz w:val="24"/>
              </w:rPr>
            </w:pPr>
            <w:r>
              <w:rPr>
                <w:rFonts w:hint="eastAsia"/>
                <w:b/>
                <w:bCs/>
                <w:sz w:val="24"/>
              </w:rPr>
              <w:t>中文名</w:t>
            </w:r>
          </w:p>
        </w:tc>
        <w:tc>
          <w:tcPr>
            <w:tcW w:w="2841" w:type="dxa"/>
          </w:tcPr>
          <w:p w14:paraId="71134D33">
            <w:pPr>
              <w:spacing w:line="360" w:lineRule="auto"/>
              <w:jc w:val="center"/>
              <w:rPr>
                <w:b/>
                <w:bCs/>
                <w:sz w:val="24"/>
              </w:rPr>
            </w:pPr>
            <w:r>
              <w:rPr>
                <w:rFonts w:hint="eastAsia"/>
                <w:b/>
                <w:bCs/>
                <w:sz w:val="24"/>
              </w:rPr>
              <w:t>数据类型</w:t>
            </w:r>
          </w:p>
        </w:tc>
      </w:tr>
      <w:tr w14:paraId="28ED7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7ACD7A06">
            <w:pPr>
              <w:spacing w:line="360" w:lineRule="auto"/>
              <w:jc w:val="center"/>
              <w:rPr>
                <w:b/>
                <w:bCs/>
                <w:sz w:val="24"/>
              </w:rPr>
            </w:pPr>
            <w:r>
              <w:rPr>
                <w:rFonts w:hint="eastAsia"/>
                <w:b/>
                <w:bCs/>
                <w:sz w:val="24"/>
              </w:rPr>
              <w:t>label_id</w:t>
            </w:r>
          </w:p>
        </w:tc>
        <w:tc>
          <w:tcPr>
            <w:tcW w:w="2841" w:type="dxa"/>
          </w:tcPr>
          <w:p w14:paraId="37CF4100">
            <w:pPr>
              <w:spacing w:line="360" w:lineRule="auto"/>
              <w:jc w:val="center"/>
              <w:rPr>
                <w:sz w:val="24"/>
              </w:rPr>
            </w:pPr>
            <w:r>
              <w:rPr>
                <w:rFonts w:hint="eastAsia"/>
                <w:sz w:val="24"/>
              </w:rPr>
              <w:t>标签ID</w:t>
            </w:r>
          </w:p>
        </w:tc>
        <w:tc>
          <w:tcPr>
            <w:tcW w:w="2841" w:type="dxa"/>
          </w:tcPr>
          <w:p w14:paraId="24FD6A8E">
            <w:pPr>
              <w:spacing w:line="360" w:lineRule="auto"/>
              <w:jc w:val="center"/>
              <w:rPr>
                <w:sz w:val="24"/>
              </w:rPr>
            </w:pPr>
            <w:r>
              <w:rPr>
                <w:rFonts w:hint="eastAsia"/>
                <w:sz w:val="24"/>
              </w:rPr>
              <w:t>VARCHAR(64)</w:t>
            </w:r>
          </w:p>
        </w:tc>
      </w:tr>
      <w:tr w14:paraId="3AE80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39E0C09D">
            <w:pPr>
              <w:spacing w:line="360" w:lineRule="auto"/>
              <w:jc w:val="center"/>
              <w:rPr>
                <w:b/>
                <w:bCs/>
                <w:sz w:val="24"/>
              </w:rPr>
            </w:pPr>
            <w:r>
              <w:rPr>
                <w:rFonts w:hint="eastAsia"/>
                <w:b/>
                <w:bCs/>
                <w:sz w:val="24"/>
              </w:rPr>
              <w:t>user_id</w:t>
            </w:r>
          </w:p>
        </w:tc>
        <w:tc>
          <w:tcPr>
            <w:tcW w:w="2841" w:type="dxa"/>
          </w:tcPr>
          <w:p w14:paraId="7E4A248B">
            <w:pPr>
              <w:spacing w:line="360" w:lineRule="auto"/>
              <w:jc w:val="center"/>
              <w:rPr>
                <w:sz w:val="24"/>
              </w:rPr>
            </w:pPr>
            <w:r>
              <w:rPr>
                <w:rFonts w:hint="eastAsia"/>
                <w:sz w:val="24"/>
              </w:rPr>
              <w:t>用户ID</w:t>
            </w:r>
          </w:p>
        </w:tc>
        <w:tc>
          <w:tcPr>
            <w:tcW w:w="2841" w:type="dxa"/>
          </w:tcPr>
          <w:p w14:paraId="7D68DCB5">
            <w:pPr>
              <w:spacing w:line="360" w:lineRule="auto"/>
              <w:jc w:val="center"/>
              <w:rPr>
                <w:sz w:val="24"/>
              </w:rPr>
            </w:pPr>
            <w:r>
              <w:rPr>
                <w:rFonts w:hint="eastAsia"/>
                <w:sz w:val="24"/>
              </w:rPr>
              <w:t>VARCHAR(64)</w:t>
            </w:r>
          </w:p>
        </w:tc>
      </w:tr>
      <w:tr w14:paraId="6911E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718D19DB">
            <w:pPr>
              <w:spacing w:line="360" w:lineRule="auto"/>
              <w:jc w:val="center"/>
              <w:rPr>
                <w:b/>
                <w:bCs/>
                <w:sz w:val="24"/>
              </w:rPr>
            </w:pPr>
            <w:r>
              <w:rPr>
                <w:rFonts w:hint="eastAsia"/>
                <w:b/>
                <w:bCs/>
                <w:sz w:val="24"/>
              </w:rPr>
              <w:t>label_code</w:t>
            </w:r>
          </w:p>
        </w:tc>
        <w:tc>
          <w:tcPr>
            <w:tcW w:w="2841" w:type="dxa"/>
          </w:tcPr>
          <w:p w14:paraId="4D25C86A">
            <w:pPr>
              <w:spacing w:line="360" w:lineRule="auto"/>
              <w:jc w:val="center"/>
              <w:rPr>
                <w:sz w:val="24"/>
              </w:rPr>
            </w:pPr>
            <w:r>
              <w:rPr>
                <w:rFonts w:hint="eastAsia"/>
                <w:sz w:val="24"/>
              </w:rPr>
              <w:t>标签编码</w:t>
            </w:r>
          </w:p>
        </w:tc>
        <w:tc>
          <w:tcPr>
            <w:tcW w:w="2841" w:type="dxa"/>
          </w:tcPr>
          <w:p w14:paraId="3D866D0A">
            <w:pPr>
              <w:spacing w:line="360" w:lineRule="auto"/>
              <w:jc w:val="center"/>
              <w:rPr>
                <w:sz w:val="24"/>
              </w:rPr>
            </w:pPr>
            <w:r>
              <w:rPr>
                <w:rFonts w:hint="eastAsia"/>
                <w:sz w:val="24"/>
              </w:rPr>
              <w:t>VARCHAR(128)</w:t>
            </w:r>
          </w:p>
        </w:tc>
      </w:tr>
      <w:tr w14:paraId="204C8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6FBE0711">
            <w:pPr>
              <w:spacing w:line="360" w:lineRule="auto"/>
              <w:jc w:val="center"/>
              <w:rPr>
                <w:b/>
                <w:bCs/>
                <w:sz w:val="24"/>
              </w:rPr>
            </w:pPr>
            <w:r>
              <w:rPr>
                <w:rFonts w:hint="eastAsia"/>
                <w:b/>
                <w:bCs/>
                <w:sz w:val="24"/>
              </w:rPr>
              <w:t>label_name</w:t>
            </w:r>
          </w:p>
        </w:tc>
        <w:tc>
          <w:tcPr>
            <w:tcW w:w="2841" w:type="dxa"/>
          </w:tcPr>
          <w:p w14:paraId="682210DB">
            <w:pPr>
              <w:spacing w:line="360" w:lineRule="auto"/>
              <w:jc w:val="center"/>
              <w:rPr>
                <w:sz w:val="24"/>
              </w:rPr>
            </w:pPr>
            <w:r>
              <w:rPr>
                <w:rFonts w:hint="eastAsia"/>
                <w:sz w:val="24"/>
              </w:rPr>
              <w:t>标签名称</w:t>
            </w:r>
          </w:p>
        </w:tc>
        <w:tc>
          <w:tcPr>
            <w:tcW w:w="2841" w:type="dxa"/>
          </w:tcPr>
          <w:p w14:paraId="7DEDA128">
            <w:pPr>
              <w:spacing w:line="360" w:lineRule="auto"/>
              <w:jc w:val="center"/>
              <w:rPr>
                <w:sz w:val="24"/>
              </w:rPr>
            </w:pPr>
            <w:r>
              <w:rPr>
                <w:rFonts w:hint="eastAsia"/>
                <w:sz w:val="24"/>
              </w:rPr>
              <w:t>VARCHAR(256)</w:t>
            </w:r>
          </w:p>
        </w:tc>
      </w:tr>
      <w:tr w14:paraId="2E167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331F3701">
            <w:pPr>
              <w:spacing w:line="360" w:lineRule="auto"/>
              <w:jc w:val="center"/>
              <w:rPr>
                <w:b/>
                <w:bCs/>
                <w:sz w:val="24"/>
              </w:rPr>
            </w:pPr>
            <w:r>
              <w:rPr>
                <w:rFonts w:hint="eastAsia"/>
                <w:b/>
                <w:bCs/>
                <w:sz w:val="24"/>
              </w:rPr>
              <w:t>label_weight</w:t>
            </w:r>
          </w:p>
        </w:tc>
        <w:tc>
          <w:tcPr>
            <w:tcW w:w="2841" w:type="dxa"/>
          </w:tcPr>
          <w:p w14:paraId="4F8DFA87">
            <w:pPr>
              <w:spacing w:line="360" w:lineRule="auto"/>
              <w:jc w:val="center"/>
              <w:rPr>
                <w:sz w:val="24"/>
              </w:rPr>
            </w:pPr>
            <w:r>
              <w:rPr>
                <w:rFonts w:hint="eastAsia"/>
                <w:sz w:val="24"/>
              </w:rPr>
              <w:t>标签权重</w:t>
            </w:r>
          </w:p>
        </w:tc>
        <w:tc>
          <w:tcPr>
            <w:tcW w:w="2841" w:type="dxa"/>
          </w:tcPr>
          <w:p w14:paraId="14D0ECBB">
            <w:pPr>
              <w:spacing w:line="360" w:lineRule="auto"/>
              <w:jc w:val="center"/>
              <w:rPr>
                <w:sz w:val="24"/>
              </w:rPr>
            </w:pPr>
            <w:r>
              <w:rPr>
                <w:rFonts w:hint="eastAsia"/>
                <w:sz w:val="24"/>
              </w:rPr>
              <w:t>FLOAT</w:t>
            </w:r>
          </w:p>
        </w:tc>
      </w:tr>
      <w:tr w14:paraId="6B140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2E60F1CB">
            <w:pPr>
              <w:spacing w:line="360" w:lineRule="auto"/>
              <w:jc w:val="center"/>
              <w:rPr>
                <w:b/>
                <w:bCs/>
                <w:sz w:val="24"/>
              </w:rPr>
            </w:pPr>
            <w:r>
              <w:rPr>
                <w:rFonts w:hint="eastAsia"/>
                <w:b/>
                <w:bCs/>
                <w:sz w:val="24"/>
              </w:rPr>
              <w:t>label_value</w:t>
            </w:r>
          </w:p>
        </w:tc>
        <w:tc>
          <w:tcPr>
            <w:tcW w:w="2841" w:type="dxa"/>
          </w:tcPr>
          <w:p w14:paraId="5828BDD4">
            <w:pPr>
              <w:spacing w:line="360" w:lineRule="auto"/>
              <w:jc w:val="center"/>
              <w:rPr>
                <w:sz w:val="24"/>
              </w:rPr>
            </w:pPr>
            <w:r>
              <w:rPr>
                <w:rFonts w:hint="eastAsia"/>
                <w:sz w:val="24"/>
              </w:rPr>
              <w:t>标签值</w:t>
            </w:r>
          </w:p>
        </w:tc>
        <w:tc>
          <w:tcPr>
            <w:tcW w:w="2841" w:type="dxa"/>
          </w:tcPr>
          <w:p w14:paraId="2E0759FD">
            <w:pPr>
              <w:spacing w:line="360" w:lineRule="auto"/>
              <w:jc w:val="center"/>
              <w:rPr>
                <w:sz w:val="24"/>
              </w:rPr>
            </w:pPr>
            <w:r>
              <w:rPr>
                <w:rFonts w:hint="eastAsia"/>
                <w:sz w:val="24"/>
              </w:rPr>
              <w:t>TEXT</w:t>
            </w:r>
          </w:p>
        </w:tc>
      </w:tr>
      <w:tr w14:paraId="23ACD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7B8DC05C">
            <w:pPr>
              <w:spacing w:line="360" w:lineRule="auto"/>
              <w:jc w:val="center"/>
              <w:rPr>
                <w:b/>
                <w:bCs/>
                <w:sz w:val="24"/>
              </w:rPr>
            </w:pPr>
            <w:r>
              <w:rPr>
                <w:rFonts w:hint="eastAsia"/>
                <w:b/>
                <w:bCs/>
                <w:sz w:val="24"/>
              </w:rPr>
              <w:t>effective_date</w:t>
            </w:r>
          </w:p>
        </w:tc>
        <w:tc>
          <w:tcPr>
            <w:tcW w:w="2841" w:type="dxa"/>
          </w:tcPr>
          <w:p w14:paraId="08198C07">
            <w:pPr>
              <w:spacing w:line="360" w:lineRule="auto"/>
              <w:jc w:val="center"/>
              <w:rPr>
                <w:sz w:val="24"/>
              </w:rPr>
            </w:pPr>
            <w:r>
              <w:rPr>
                <w:rFonts w:hint="eastAsia"/>
                <w:sz w:val="24"/>
              </w:rPr>
              <w:t>生效日期</w:t>
            </w:r>
          </w:p>
        </w:tc>
        <w:tc>
          <w:tcPr>
            <w:tcW w:w="2841" w:type="dxa"/>
          </w:tcPr>
          <w:p w14:paraId="571D8CBB">
            <w:pPr>
              <w:spacing w:line="360" w:lineRule="auto"/>
              <w:jc w:val="center"/>
              <w:rPr>
                <w:sz w:val="24"/>
              </w:rPr>
            </w:pPr>
            <w:r>
              <w:rPr>
                <w:rFonts w:hint="eastAsia"/>
                <w:sz w:val="24"/>
              </w:rPr>
              <w:t>DATE</w:t>
            </w:r>
          </w:p>
        </w:tc>
      </w:tr>
      <w:tr w14:paraId="6141C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38E25C1B">
            <w:pPr>
              <w:spacing w:line="360" w:lineRule="auto"/>
              <w:jc w:val="center"/>
              <w:rPr>
                <w:b/>
                <w:bCs/>
                <w:sz w:val="24"/>
              </w:rPr>
            </w:pPr>
            <w:r>
              <w:rPr>
                <w:rFonts w:hint="eastAsia"/>
                <w:b/>
                <w:bCs/>
                <w:sz w:val="24"/>
              </w:rPr>
              <w:t>expiry_date</w:t>
            </w:r>
          </w:p>
        </w:tc>
        <w:tc>
          <w:tcPr>
            <w:tcW w:w="2841" w:type="dxa"/>
          </w:tcPr>
          <w:p w14:paraId="5EF44655">
            <w:pPr>
              <w:spacing w:line="360" w:lineRule="auto"/>
              <w:jc w:val="center"/>
              <w:rPr>
                <w:sz w:val="24"/>
              </w:rPr>
            </w:pPr>
            <w:r>
              <w:rPr>
                <w:rFonts w:hint="eastAsia"/>
                <w:sz w:val="24"/>
              </w:rPr>
              <w:t>失效日期</w:t>
            </w:r>
          </w:p>
        </w:tc>
        <w:tc>
          <w:tcPr>
            <w:tcW w:w="2841" w:type="dxa"/>
          </w:tcPr>
          <w:p w14:paraId="5C3B1281">
            <w:pPr>
              <w:spacing w:line="360" w:lineRule="auto"/>
              <w:jc w:val="center"/>
              <w:rPr>
                <w:sz w:val="24"/>
              </w:rPr>
            </w:pPr>
            <w:r>
              <w:rPr>
                <w:rFonts w:hint="eastAsia"/>
                <w:sz w:val="24"/>
              </w:rPr>
              <w:t>DATE</w:t>
            </w:r>
          </w:p>
        </w:tc>
      </w:tr>
      <w:tr w14:paraId="0E068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328B353A">
            <w:pPr>
              <w:spacing w:line="360" w:lineRule="auto"/>
              <w:jc w:val="center"/>
              <w:rPr>
                <w:b/>
                <w:bCs/>
                <w:sz w:val="24"/>
              </w:rPr>
            </w:pPr>
            <w:r>
              <w:rPr>
                <w:rFonts w:hint="eastAsia"/>
                <w:b/>
                <w:bCs/>
                <w:sz w:val="24"/>
              </w:rPr>
              <w:t>data_source</w:t>
            </w:r>
          </w:p>
        </w:tc>
        <w:tc>
          <w:tcPr>
            <w:tcW w:w="2841" w:type="dxa"/>
          </w:tcPr>
          <w:p w14:paraId="2185B881">
            <w:pPr>
              <w:spacing w:line="360" w:lineRule="auto"/>
              <w:jc w:val="center"/>
              <w:rPr>
                <w:sz w:val="24"/>
              </w:rPr>
            </w:pPr>
            <w:r>
              <w:rPr>
                <w:rFonts w:hint="eastAsia"/>
                <w:sz w:val="24"/>
              </w:rPr>
              <w:t>数据来源</w:t>
            </w:r>
          </w:p>
        </w:tc>
        <w:tc>
          <w:tcPr>
            <w:tcW w:w="2841" w:type="dxa"/>
          </w:tcPr>
          <w:p w14:paraId="2203FCD0">
            <w:pPr>
              <w:spacing w:line="360" w:lineRule="auto"/>
              <w:jc w:val="center"/>
              <w:rPr>
                <w:sz w:val="24"/>
              </w:rPr>
            </w:pPr>
            <w:r>
              <w:rPr>
                <w:rFonts w:hint="eastAsia"/>
                <w:sz w:val="24"/>
              </w:rPr>
              <w:t>VARCHAR(128)</w:t>
            </w:r>
          </w:p>
        </w:tc>
      </w:tr>
    </w:tbl>
    <w:p w14:paraId="2BEE1AA3">
      <w:pPr>
        <w:spacing w:line="360" w:lineRule="auto"/>
        <w:jc w:val="center"/>
      </w:pPr>
    </w:p>
    <w:p w14:paraId="6880A259">
      <w:pPr>
        <w:spacing w:line="360" w:lineRule="auto"/>
        <w:ind w:firstLine="480" w:firstLineChars="200"/>
        <w:rPr>
          <w:sz w:val="24"/>
        </w:rPr>
      </w:pPr>
      <w:r>
        <w:rPr>
          <w:rFonts w:hint="eastAsia"/>
          <w:sz w:val="24"/>
        </w:rPr>
        <w:t>在非结构化数据处理方面，系统支持用户上传文本、PDF、Word等多种格式文档，通过Apache Tika提取文档内容，并利用集成的开源Embedding模型（如BGE、text2vec）将文本转换为向量，存储至Milvus向量数据库以支持语义检索，同时原始文本内容也会被索引至Apache Solr，构建支持后续混合检索（向量检索结合全文检索）的能力。对于数据服务化，开发完成的数据资产（如主题表查询、标签查询接口）可通过配置自动生成RESTful API，由API网关（Apache APISIX）统一负责路由转发、限流和身份认证；所有API在Apache Atlas中注册元数据以实现统一管理，并自动在开发者门户（Backstage）中生成Swagger UI接口文档，供内部或第三方系统便捷调用。</w:t>
      </w:r>
    </w:p>
    <w:p w14:paraId="29E126F2">
      <w:pPr>
        <w:spacing w:line="360" w:lineRule="auto"/>
      </w:pPr>
    </w:p>
    <w:p w14:paraId="3D9FD9FF">
      <w:pPr>
        <w:numPr>
          <w:ilvl w:val="2"/>
          <w:numId w:val="1"/>
        </w:numPr>
        <w:spacing w:line="360" w:lineRule="auto"/>
        <w:outlineLvl w:val="2"/>
        <w:rPr>
          <w:b/>
          <w:bCs/>
          <w:sz w:val="28"/>
          <w:szCs w:val="28"/>
        </w:rPr>
      </w:pPr>
      <w:bookmarkStart w:id="37" w:name="_Toc221113262"/>
      <w:r>
        <w:rPr>
          <w:b/>
          <w:bCs/>
          <w:sz w:val="28"/>
          <w:szCs w:val="28"/>
        </w:rPr>
        <w:t>AI引擎管理模块</w:t>
      </w:r>
      <w:bookmarkEnd w:id="37"/>
    </w:p>
    <w:p w14:paraId="387ADB70">
      <w:pPr>
        <w:spacing w:line="360" w:lineRule="auto"/>
      </w:pPr>
    </w:p>
    <w:p w14:paraId="5C411C52">
      <w:pPr>
        <w:spacing w:line="360" w:lineRule="auto"/>
        <w:ind w:firstLine="480" w:firstLineChars="200"/>
        <w:rPr>
          <w:sz w:val="24"/>
        </w:rPr>
      </w:pPr>
      <w:r>
        <w:rPr>
          <w:sz w:val="24"/>
        </w:rPr>
        <w:t>AI引擎管理模块作为平台的智能中枢，负责封装与调度各类AI能力，并将其编排为可复用的工作流。平台内嵌了基于Scikit-learn、XGBoost、LightGBM等构建的机器学习算法仓库，并借助MLflow进行统一管理和追踪。这些算法以微服务形式部署，提供标准化的训练与预测API，例如</w:t>
      </w:r>
      <w:r>
        <w:rPr>
          <w:rFonts w:hint="eastAsia"/>
          <w:sz w:val="24"/>
        </w:rPr>
        <w:t>图22所示的</w:t>
      </w:r>
      <w:r>
        <w:rPr>
          <w:sz w:val="24"/>
        </w:rPr>
        <w:t>“评价模型构建”场景中，层次分析法（AHP）和熵权法等算法已被封装为独立的服务节点供工作</w:t>
      </w:r>
      <w:r>
        <w:rPr>
          <w:sz w:val="24"/>
        </w:rPr>
        <w:drawing>
          <wp:anchor distT="0" distB="0" distL="114300" distR="114300" simplePos="0" relativeHeight="251671552" behindDoc="0" locked="0" layoutInCell="1" allowOverlap="1">
            <wp:simplePos x="0" y="0"/>
            <wp:positionH relativeFrom="column">
              <wp:posOffset>-482600</wp:posOffset>
            </wp:positionH>
            <wp:positionV relativeFrom="paragraph">
              <wp:posOffset>1564005</wp:posOffset>
            </wp:positionV>
            <wp:extent cx="6161405" cy="3113405"/>
            <wp:effectExtent l="0" t="0" r="0" b="0"/>
            <wp:wrapSquare wrapText="bothSides"/>
            <wp:docPr id="26" name="图片 26" descr="评价模型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评价模型界面"/>
                    <pic:cNvPicPr>
                      <a:picLocks noChangeAspect="1"/>
                    </pic:cNvPicPr>
                  </pic:nvPicPr>
                  <pic:blipFill>
                    <a:blip r:embed="rId26" cstate="print">
                      <a:extLst>
                        <a:ext uri="{28A0092B-C50C-407E-A947-70E740481C1C}">
                          <a14:useLocalDpi xmlns:a14="http://schemas.microsoft.com/office/drawing/2010/main" val="0"/>
                        </a:ext>
                      </a:extLst>
                    </a:blip>
                    <a:srcRect t="6949"/>
                    <a:stretch>
                      <a:fillRect/>
                    </a:stretch>
                  </pic:blipFill>
                  <pic:spPr>
                    <a:xfrm>
                      <a:off x="0" y="0"/>
                      <a:ext cx="6161405" cy="3113405"/>
                    </a:xfrm>
                    <a:prstGeom prst="rect">
                      <a:avLst/>
                    </a:prstGeom>
                    <a:ln>
                      <a:noFill/>
                    </a:ln>
                  </pic:spPr>
                </pic:pic>
              </a:graphicData>
            </a:graphic>
          </wp:anchor>
        </w:drawing>
      </w:r>
      <w:r>
        <w:rPr>
          <w:sz w:val="24"/>
        </w:rPr>
        <w:t>流调用。</w:t>
      </w:r>
    </w:p>
    <w:p w14:paraId="48E85E50">
      <w:pPr>
        <w:pStyle w:val="2"/>
        <w:spacing w:line="360" w:lineRule="auto"/>
        <w:jc w:val="center"/>
        <w:rPr>
          <w:rFonts w:asciiTheme="minorHAnsi" w:hAnsiTheme="minorHAnsi" w:eastAsiaTheme="minorEastAsia"/>
          <w:b/>
          <w:bCs/>
          <w:sz w:val="21"/>
        </w:rPr>
      </w:pPr>
    </w:p>
    <w:p w14:paraId="24A1C710">
      <w:pPr>
        <w:pStyle w:val="2"/>
        <w:spacing w:line="360" w:lineRule="auto"/>
        <w:jc w:val="center"/>
        <w:rPr>
          <w:rFonts w:asciiTheme="minorHAnsi" w:hAnsiTheme="minorHAnsi" w:eastAsiaTheme="minorEastAsia"/>
          <w:b/>
          <w:bCs/>
          <w:sz w:val="21"/>
        </w:rPr>
      </w:pPr>
    </w:p>
    <w:p w14:paraId="15770BD1">
      <w:pPr>
        <w:pStyle w:val="2"/>
        <w:spacing w:line="360" w:lineRule="auto"/>
        <w:jc w:val="center"/>
        <w:rPr>
          <w:rFonts w:asciiTheme="minorHAnsi" w:hAnsiTheme="minorHAnsi" w:eastAsiaTheme="minorEastAsia"/>
          <w:b/>
          <w:bCs/>
          <w:sz w:val="21"/>
        </w:rPr>
      </w:pPr>
      <w:r>
        <w:rPr>
          <w:rFonts w:hint="eastAsia" w:asciiTheme="minorHAnsi" w:hAnsiTheme="minorHAnsi" w:eastAsiaTheme="minorEastAsia"/>
          <w:b/>
          <w:bCs/>
          <w:sz w:val="21"/>
        </w:rPr>
        <w:t>图22 评级模型构建界面</w:t>
      </w:r>
    </w:p>
    <w:p w14:paraId="130D01DB">
      <w:pPr>
        <w:spacing w:line="360" w:lineRule="auto"/>
        <w:ind w:firstLine="480" w:firstLineChars="200"/>
        <w:rPr>
          <w:sz w:val="24"/>
        </w:rPr>
      </w:pPr>
    </w:p>
    <w:p w14:paraId="750CF97C">
      <w:pPr>
        <w:spacing w:line="360" w:lineRule="auto"/>
        <w:ind w:firstLine="480" w:firstLineChars="200"/>
        <w:rPr>
          <w:sz w:val="24"/>
        </w:rPr>
      </w:pPr>
      <w:r>
        <w:rPr>
          <w:sz w:val="24"/>
        </w:rPr>
        <w:t>系统的核心是融合了Apache Airflow与Node-RED的可视化工作流引擎。Apache Airflow负责底层的复杂调度、依赖管理和执行历史追踪；Node-RED则提供友好的前端界面，允许用户通过可视化拖拽的方式编排工作流。引擎内置了丰富的节点类型，包括：用于连接数据湖、执行SQL查询或调用API的数据节点；用于调用内置机器学习或统计分析服务的算法节点；封装了对vLLM或Triton Inference Server上部署的开源大模型（如Qwen）调用的大模型节点；实现条件分支、循环、并行处理的逻辑节点；以及支持运行Python、SQL脚本的自定义脚本节点。用户通过拖拽并配置这些节点，即可快速构建从数据预处理、模型推理到结果输出的端到端AI流水线，工作流定义最终以JSON格式存储，并由Airflow调度器负责执行。</w:t>
      </w:r>
    </w:p>
    <w:p w14:paraId="0DCBFC77">
      <w:pPr>
        <w:spacing w:line="360" w:lineRule="auto"/>
      </w:pPr>
    </w:p>
    <w:p w14:paraId="65A122CA">
      <w:pPr>
        <w:numPr>
          <w:ilvl w:val="2"/>
          <w:numId w:val="1"/>
        </w:numPr>
        <w:spacing w:line="360" w:lineRule="auto"/>
        <w:outlineLvl w:val="2"/>
        <w:rPr>
          <w:b/>
          <w:bCs/>
          <w:sz w:val="28"/>
          <w:szCs w:val="28"/>
        </w:rPr>
      </w:pPr>
      <w:bookmarkStart w:id="38" w:name="_Toc221113263"/>
      <w:r>
        <w:rPr>
          <w:b/>
          <w:bCs/>
          <w:sz w:val="28"/>
          <w:szCs w:val="28"/>
        </w:rPr>
        <w:t>知识库管理模块</w:t>
      </w:r>
      <w:bookmarkEnd w:id="38"/>
    </w:p>
    <w:p w14:paraId="71C09D1C">
      <w:pPr>
        <w:spacing w:line="360" w:lineRule="auto"/>
      </w:pPr>
    </w:p>
    <w:p w14:paraId="05583370">
      <w:pPr>
        <w:spacing w:line="360" w:lineRule="auto"/>
        <w:ind w:firstLine="480" w:firstLineChars="200"/>
        <w:rPr>
          <w:sz w:val="24"/>
        </w:rPr>
      </w:pPr>
      <w:r>
        <w:rPr>
          <w:sz w:val="24"/>
        </w:rPr>
        <w:drawing>
          <wp:anchor distT="0" distB="0" distL="114300" distR="114300" simplePos="0" relativeHeight="251672576" behindDoc="0" locked="0" layoutInCell="1" allowOverlap="1">
            <wp:simplePos x="0" y="0"/>
            <wp:positionH relativeFrom="column">
              <wp:posOffset>-440055</wp:posOffset>
            </wp:positionH>
            <wp:positionV relativeFrom="paragraph">
              <wp:posOffset>2197735</wp:posOffset>
            </wp:positionV>
            <wp:extent cx="6194425" cy="3108325"/>
            <wp:effectExtent l="0" t="0" r="0" b="0"/>
            <wp:wrapSquare wrapText="bothSides"/>
            <wp:docPr id="29" name="图片 29" descr="知识库创建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知识库创建界面"/>
                    <pic:cNvPicPr>
                      <a:picLocks noChangeAspect="1"/>
                    </pic:cNvPicPr>
                  </pic:nvPicPr>
                  <pic:blipFill>
                    <a:blip r:embed="rId27" cstate="print">
                      <a:extLst>
                        <a:ext uri="{28A0092B-C50C-407E-A947-70E740481C1C}">
                          <a14:useLocalDpi xmlns:a14="http://schemas.microsoft.com/office/drawing/2010/main" val="0"/>
                        </a:ext>
                      </a:extLst>
                    </a:blip>
                    <a:srcRect t="7108"/>
                    <a:stretch>
                      <a:fillRect/>
                    </a:stretch>
                  </pic:blipFill>
                  <pic:spPr>
                    <a:xfrm>
                      <a:off x="0" y="0"/>
                      <a:ext cx="6194425" cy="3108325"/>
                    </a:xfrm>
                    <a:prstGeom prst="rect">
                      <a:avLst/>
                    </a:prstGeom>
                    <a:ln>
                      <a:noFill/>
                    </a:ln>
                  </pic:spPr>
                </pic:pic>
              </a:graphicData>
            </a:graphic>
          </wp:anchor>
        </w:drawing>
      </w:r>
      <w:r>
        <w:rPr>
          <w:rFonts w:hint="eastAsia"/>
          <w:sz w:val="24"/>
        </w:rPr>
        <w:t>如图23所示的知识库</w:t>
      </w:r>
      <w:r>
        <w:rPr>
          <w:sz w:val="24"/>
        </w:rPr>
        <w:t>模块专注于非结构化知识的摄取、管理与高效检索，为构建智能问答应用提供基础支撑。系统支持上传TXT、PDF、Word等多种格式的文档，后台自动完成文本解析、内容清洗（如去除无效字符和URL等）和分块处理。分块策略不仅支持通用的滑动窗口法，还提供更高级的“父子分段”法，即依据文档的标题结构将其划分为主题性的父块与细节性的子块，以此优化后续检索的准确性。</w:t>
      </w:r>
    </w:p>
    <w:p w14:paraId="23B9F155">
      <w:pPr>
        <w:pStyle w:val="2"/>
        <w:spacing w:line="360" w:lineRule="auto"/>
        <w:jc w:val="center"/>
        <w:rPr>
          <w:rFonts w:asciiTheme="minorHAnsi" w:hAnsiTheme="minorHAnsi" w:eastAsiaTheme="minorEastAsia"/>
          <w:b/>
          <w:bCs/>
          <w:sz w:val="21"/>
        </w:rPr>
      </w:pPr>
    </w:p>
    <w:p w14:paraId="6F260481">
      <w:pPr>
        <w:pStyle w:val="2"/>
        <w:spacing w:line="360" w:lineRule="auto"/>
        <w:jc w:val="center"/>
        <w:rPr>
          <w:rFonts w:asciiTheme="minorHAnsi" w:hAnsiTheme="minorHAnsi" w:eastAsiaTheme="minorEastAsia"/>
          <w:b/>
          <w:bCs/>
          <w:sz w:val="21"/>
        </w:rPr>
      </w:pPr>
    </w:p>
    <w:p w14:paraId="2F6C12B6">
      <w:pPr>
        <w:pStyle w:val="2"/>
        <w:spacing w:line="360" w:lineRule="auto"/>
        <w:jc w:val="center"/>
        <w:rPr>
          <w:rFonts w:asciiTheme="minorHAnsi" w:hAnsiTheme="minorHAnsi" w:eastAsiaTheme="minorEastAsia"/>
          <w:b/>
          <w:bCs/>
          <w:sz w:val="21"/>
        </w:rPr>
      </w:pPr>
      <w:r>
        <w:rPr>
          <w:rFonts w:hint="eastAsia" w:asciiTheme="minorHAnsi" w:hAnsiTheme="minorHAnsi" w:eastAsiaTheme="minorEastAsia"/>
          <w:b/>
          <w:bCs/>
          <w:sz w:val="21"/>
        </w:rPr>
        <w:t>图23 知识库功能界面</w:t>
      </w:r>
    </w:p>
    <w:p w14:paraId="601698DF">
      <w:pPr>
        <w:spacing w:line="360" w:lineRule="auto"/>
        <w:ind w:firstLine="480" w:firstLineChars="200"/>
        <w:rPr>
          <w:sz w:val="24"/>
        </w:rPr>
      </w:pPr>
    </w:p>
    <w:p w14:paraId="5DF38B29">
      <w:pPr>
        <w:spacing w:line="360" w:lineRule="auto"/>
        <w:ind w:firstLine="480" w:firstLineChars="200"/>
        <w:rPr>
          <w:sz w:val="24"/>
        </w:rPr>
      </w:pPr>
      <w:r>
        <w:rPr>
          <w:sz w:val="24"/>
        </w:rPr>
        <w:t>在向量化与检索环节，分块后的文本通过集成的Embedding模型转换为向量并存储至Milvus向量数据库，同时原始文本块也会被索引至Apache Solr。检索时，用户可以根据需求选择纯向量检索（侧重语义相似性）、全文关键词检索或混合检索模式。混合检索采用Reciprocal Rank Fusion（RRF）等算法对向量检索与全文检索的结果进行融合，兼顾语义相关性与关键词匹配度，以提升检索效果。</w:t>
      </w:r>
    </w:p>
    <w:p w14:paraId="632E902A">
      <w:pPr>
        <w:spacing w:line="360" w:lineRule="auto"/>
        <w:ind w:firstLine="480" w:firstLineChars="200"/>
        <w:rPr>
          <w:sz w:val="24"/>
        </w:rPr>
      </w:pPr>
    </w:p>
    <w:p w14:paraId="0C5D8728">
      <w:pPr>
        <w:spacing w:line="360" w:lineRule="auto"/>
        <w:ind w:firstLine="480" w:firstLineChars="200"/>
        <w:rPr>
          <w:sz w:val="24"/>
        </w:rPr>
      </w:pPr>
      <w:r>
        <w:rPr>
          <w:sz w:val="24"/>
        </w:rPr>
        <w:t>平台还内置了“职教政策知识库”和“国家专业教学标准知识库”等预置知识库。这些知识库通过基于Apache Nutch或Scrapy的定期网络爬虫采集数据，并结合人工审核机制进行更新，确保信息的时效性与权威性。同时，系统提供了管理接口，允许学校管理员根据实际需要对内置知识库的内容进行补充和修正，实现知识的持续积累与优化。</w:t>
      </w:r>
    </w:p>
    <w:p w14:paraId="7B16D295">
      <w:pPr>
        <w:spacing w:line="360" w:lineRule="auto"/>
      </w:pPr>
    </w:p>
    <w:p w14:paraId="3599A227">
      <w:pPr>
        <w:numPr>
          <w:ilvl w:val="2"/>
          <w:numId w:val="1"/>
        </w:numPr>
        <w:spacing w:line="360" w:lineRule="auto"/>
        <w:outlineLvl w:val="2"/>
        <w:rPr>
          <w:b/>
          <w:bCs/>
          <w:sz w:val="28"/>
          <w:szCs w:val="28"/>
        </w:rPr>
      </w:pPr>
      <w:bookmarkStart w:id="39" w:name="_Toc221113264"/>
      <w:r>
        <w:rPr>
          <w:b/>
          <w:bCs/>
          <w:sz w:val="28"/>
          <w:szCs w:val="28"/>
        </w:rPr>
        <w:t>AI应用开发模块</w:t>
      </w:r>
      <w:bookmarkEnd w:id="39"/>
    </w:p>
    <w:p w14:paraId="61EE8E1A">
      <w:pPr>
        <w:spacing w:line="360" w:lineRule="auto"/>
      </w:pPr>
    </w:p>
    <w:p w14:paraId="17CE76C8">
      <w:pPr>
        <w:spacing w:line="360" w:lineRule="auto"/>
        <w:ind w:firstLine="480" w:firstLineChars="200"/>
        <w:rPr>
          <w:sz w:val="24"/>
        </w:rPr>
      </w:pPr>
      <w:r>
        <w:rPr>
          <w:sz w:val="24"/>
        </w:rPr>
        <w:t>AI应用开发模块是平台赋能业务人员的核心入口，旨在通过低代码/无代码的方式，降低AI应用构建的技术门槛，实现“人人可开发AI”的愿景。该模块面向包括教师、管理人员、业务骨干在内的最终用户，提供全流程的可视化开发环境，支持智能问答、工作流自动化、智能体三类典型AI应用的快速构建、部署与运营管理，是平台业务价值实现的直接出口。</w:t>
      </w:r>
    </w:p>
    <w:p w14:paraId="66AF8961">
      <w:pPr>
        <w:spacing w:line="360" w:lineRule="auto"/>
        <w:ind w:firstLine="480" w:firstLineChars="200"/>
        <w:rPr>
          <w:sz w:val="24"/>
        </w:rPr>
      </w:pPr>
    </w:p>
    <w:p w14:paraId="77364D50">
      <w:pPr>
        <w:spacing w:line="360" w:lineRule="auto"/>
        <w:ind w:firstLine="480" w:firstLineChars="200"/>
        <w:rPr>
          <w:sz w:val="24"/>
        </w:rPr>
      </w:pPr>
      <w:r>
        <w:rPr>
          <w:sz w:val="24"/>
        </w:rPr>
        <w:t>本模块采用“配置即开发”的设计理念，基于声明式配置与可视化编排，将底层AI能力封装为可复用的业务组件。其整体开发流程始于应用定义，用户需首先选择应用类型并配置基础信息与访问权限。随后进入核心的能力编排阶段，通过直观的可视化界面，将数据源、AI模型、逻辑判断节点、知识库等组件像搭积木一样进行组合与连接。在交互设计环节，用户可以配置应用的前端交互形式，例如设计数据输入表单、定义对话流逻辑、或选择图表展示模板。完成设计后，可利用内置的沙箱环境进行全功能测试与调试，最终通过一键操作将应用发布为可独立访问的Web服务或标准API。应用上线后，运营管理功能允许用户持续监控其性能指标、管理多版本发布与回滚、并动态调整访问权限与资源配额，形成完整的应用生命周期闭环。</w:t>
      </w:r>
    </w:p>
    <w:p w14:paraId="7940F8A9">
      <w:pPr>
        <w:spacing w:line="360" w:lineRule="auto"/>
        <w:ind w:firstLine="480" w:firstLineChars="200"/>
        <w:rPr>
          <w:sz w:val="24"/>
        </w:rPr>
      </w:pPr>
    </w:p>
    <w:p w14:paraId="4C905C50">
      <w:pPr>
        <w:spacing w:line="360" w:lineRule="auto"/>
        <w:ind w:firstLine="480" w:firstLineChars="200"/>
        <w:rPr>
          <w:sz w:val="24"/>
        </w:rPr>
      </w:pPr>
      <w:r>
        <w:rPr>
          <w:sz w:val="24"/>
        </w:rPr>
        <w:t>在智能问答型应用的构建中，平台提供了基于检索增强生成架构的专业开发环境。开发者可以在集成的高阶提示词工程环境中进行编排，该环境提供了语法高亮、自动补全、变量插入和模板管理等高级功能，便于编写复杂的多轮对话逻辑。应用的核心知识来源通过动态关联一个或多个知识库来实现，开发者可以精细配置检索参数，例如控制返回的候选片段数量、设置基于向量相似度的过滤阈值、并可选择混合检索策略以融合语义检索与关键词匹配的结果。为增强答案的可信度，应用可启用引用溯源功能，系统会在生成的答案中自动标注其来源的知识片段，用户可点击跳转查看原文，确保了信息的可追溯与可验证。此外，开发者还能全方位优化对话体验，包括配置个性化的系统开场白、预设建议提问列表、管理多轮对话的上下文长度以及设定服务降级时的回复策略。全部配置完成后，系统后端会自动生成并封装一个独立的微服务，该服务集成了完整的检索、排序、提示词填充、大模型调用及后处理流水线，可直接部署为Web应用或提供API服务。</w:t>
      </w:r>
    </w:p>
    <w:p w14:paraId="593238B6">
      <w:pPr>
        <w:spacing w:line="360" w:lineRule="auto"/>
        <w:ind w:firstLine="480" w:firstLineChars="200"/>
        <w:rPr>
          <w:sz w:val="24"/>
        </w:rPr>
      </w:pPr>
    </w:p>
    <w:p w14:paraId="76B67B2D">
      <w:pPr>
        <w:spacing w:line="360" w:lineRule="auto"/>
        <w:ind w:firstLine="480" w:firstLineChars="200"/>
        <w:rPr>
          <w:sz w:val="24"/>
        </w:rPr>
      </w:pPr>
      <w:r>
        <w:rPr>
          <w:sz w:val="24"/>
        </w:rPr>
        <w:t>对于工作流型应用，平台提供了一个强大的可视化流程编排器来构建包含复杂业务逻辑的自动化AI流水线。开发者在一个类似流程图的可视化编辑器中进行操作，通过拖拽丰富多样的节点来定义业务流程，这些节点涵盖了数据操作、AI调用、逻辑判断和输出处理等各类功能。在流程中，数据以结构化的格式在节点之间流转，开发者可以方便地定义和管理全局变量、环境变量及来自用户表单的输入参数。系统提供了完善的调试支持，包括流程的单步执行、每个节点处理数据的实时预览以及详细的错误日志追踪。当工作流设计完成后，开发者可以灵活选择其发布形态，既可以打包生成一个带有简易前端界面的独立Web应用，也可以发布为符合行业标准的API服务供其他系统集成，还可以将其配置为按定时计划自动执行的批处理任务。</w:t>
      </w:r>
    </w:p>
    <w:p w14:paraId="51A05E1D">
      <w:pPr>
        <w:spacing w:line="360" w:lineRule="auto"/>
        <w:ind w:firstLine="480" w:firstLineChars="200"/>
        <w:rPr>
          <w:sz w:val="24"/>
        </w:rPr>
      </w:pPr>
    </w:p>
    <w:p w14:paraId="1047669D">
      <w:pPr>
        <w:spacing w:line="360" w:lineRule="auto"/>
        <w:ind w:firstLine="480" w:firstLineChars="200"/>
        <w:rPr>
          <w:sz w:val="24"/>
        </w:rPr>
      </w:pPr>
      <w:r>
        <w:rPr>
          <w:sz w:val="24"/>
        </w:rPr>
        <w:t>在更为先进的智能体型应用开发中，平台在智能问答的基础上引入了自主规划与工具调用能力，以处理多步骤的复杂任务。开发者首先需要为智能体注册和配置一系列可用的工具，这些工具可以是平台内置的数据与AI服务，也可以是开发者用脚本语言编写的自定义函数，甚至是通过标准协议接入的第三方外部服务。智能体的核心能力在于能够理解用户的复杂意图，并利用大语言模型的推理能力，将任务自动分解为有序的子步骤，动态地调用相应的工具链来协同执行，并在执行过程中根据中间结果进行循环验证与调整，直至任务完成。为了提供连贯和个性化的交互体验，智能体具备记忆与状态管理能力，能够记住对话历史、缓存工具执行结果并学习用户偏好。同时，为了增强其决策过程的透明性和可信度，平台提供了可观测性视图，向开发者和最终用户展示智能体内部的思考链以及工具调用的详细序列。</w:t>
      </w:r>
    </w:p>
    <w:p w14:paraId="1E3853FA">
      <w:pPr>
        <w:spacing w:line="360" w:lineRule="auto"/>
        <w:ind w:firstLine="480" w:firstLineChars="200"/>
        <w:rPr>
          <w:sz w:val="24"/>
        </w:rPr>
      </w:pPr>
    </w:p>
    <w:p w14:paraId="71FA6779">
      <w:pPr>
        <w:spacing w:line="360" w:lineRule="auto"/>
        <w:ind w:firstLine="480" w:firstLineChars="200"/>
        <w:rPr>
          <w:sz w:val="24"/>
        </w:rPr>
      </w:pPr>
      <w:r>
        <w:rPr>
          <w:sz w:val="24"/>
        </w:rPr>
        <w:t>平台还提供了一个统一的全生命周期管理控制台，对所有创建的AI应用进行集中化治理。所有应用及其元数据、版本历史和依赖关系都存储在统一的应用仓库中，便于查找与管理。基于角色的访问控制模型确保了应用访问的安全，同时管理员可以细粒度地设置每个应用的API调用频率、并发数和数据查询配额等运营策略。在监控方面，控制台提供实时仪表盘，展示应用调用量、响应延迟、错误率及知识库命中率等关键指标，并生成用户行为分析报表以洞察使用情况。在部署与迭代层面，平台支持应用的多版本并存、灰度发布和快速回滚，并严格隔离测试与生产环境以保障稳定性。在集成开放层面，开发完成的应用可以无缝嵌入到智慧校园门户或移动端页面中，保持统一的登录体验和界面风格；同时，每一个应用都会自动生成符合规范的API文档，并通过高性能API网关对外提供服务，由网关统一实施认证鉴权、流量控制、安全防护与计量计费等策略。</w:t>
      </w:r>
    </w:p>
    <w:p w14:paraId="2E607C01">
      <w:pPr>
        <w:spacing w:line="360" w:lineRule="auto"/>
        <w:ind w:firstLine="480" w:firstLineChars="200"/>
        <w:rPr>
          <w:sz w:val="24"/>
        </w:rPr>
      </w:pPr>
    </w:p>
    <w:p w14:paraId="4681ED55">
      <w:pPr>
        <w:spacing w:line="360" w:lineRule="auto"/>
        <w:ind w:firstLine="480" w:firstLineChars="200"/>
        <w:rPr>
          <w:sz w:val="24"/>
        </w:rPr>
      </w:pPr>
      <w:r>
        <w:rPr>
          <w:sz w:val="24"/>
        </w:rPr>
        <w:t>在技术实现上，该模块前端采用现代框架构建，实现了动态表单、流程图编辑与数据绑定等复杂交互；后端则以微服务架构为基础，确保每个应用实例的资源隔离与独立伸缩。所有应用配置均以结构化的方式存储，支持版本化管理与团队协作。安全方面，平台在应用间执行严格的资源与数据访问隔离，防止越权操作。</w:t>
      </w:r>
    </w:p>
    <w:p w14:paraId="017AADD9">
      <w:pPr>
        <w:spacing w:line="360" w:lineRule="auto"/>
        <w:ind w:firstLine="480" w:firstLineChars="200"/>
        <w:rPr>
          <w:sz w:val="24"/>
        </w:rPr>
      </w:pPr>
    </w:p>
    <w:p w14:paraId="5A6C1ABF">
      <w:pPr>
        <w:spacing w:line="360" w:lineRule="auto"/>
        <w:ind w:firstLine="480" w:firstLineChars="200"/>
        <w:rPr>
          <w:sz w:val="24"/>
        </w:rPr>
      </w:pPr>
      <w:r>
        <w:rPr>
          <w:sz w:val="24"/>
        </w:rPr>
        <w:t>通过本模块，不具备专业编程背景的业务人员也能将数据、知识、模型与业务流程灵活组合，快速构建出贴合实际场景的智能应用，如智能招生咨询机器人、自动化的课程质量评估工作流、或是具备规划能力的实习岗位推荐智能体，从而真正推动AI技术在学校各项业务中的民主化应用与深度赋能。</w:t>
      </w:r>
    </w:p>
    <w:p w14:paraId="004B0515">
      <w:pPr>
        <w:spacing w:line="360" w:lineRule="auto"/>
      </w:pPr>
    </w:p>
    <w:p w14:paraId="1F7E5FBF">
      <w:pPr>
        <w:spacing w:line="360" w:lineRule="auto"/>
      </w:pPr>
    </w:p>
    <w:p w14:paraId="05E8AC3B">
      <w:pPr>
        <w:spacing w:line="360" w:lineRule="auto"/>
      </w:pPr>
    </w:p>
    <w:p w14:paraId="590EA096">
      <w:pPr>
        <w:numPr>
          <w:ilvl w:val="2"/>
          <w:numId w:val="1"/>
        </w:numPr>
        <w:spacing w:line="360" w:lineRule="auto"/>
        <w:outlineLvl w:val="2"/>
        <w:rPr>
          <w:b/>
          <w:bCs/>
          <w:sz w:val="28"/>
          <w:szCs w:val="28"/>
        </w:rPr>
      </w:pPr>
      <w:bookmarkStart w:id="40" w:name="_Toc221113265"/>
      <w:r>
        <w:rPr>
          <w:b/>
          <w:bCs/>
          <w:sz w:val="28"/>
          <w:szCs w:val="28"/>
        </w:rPr>
        <w:t>模型与算力管理模块</w:t>
      </w:r>
      <w:bookmarkEnd w:id="40"/>
    </w:p>
    <w:p w14:paraId="21338FE9">
      <w:pPr>
        <w:spacing w:line="360" w:lineRule="auto"/>
      </w:pPr>
    </w:p>
    <w:p w14:paraId="52249158">
      <w:pPr>
        <w:spacing w:line="360" w:lineRule="auto"/>
        <w:ind w:firstLine="480" w:firstLineChars="200"/>
        <w:rPr>
          <w:sz w:val="24"/>
        </w:rPr>
      </w:pPr>
      <w:r>
        <w:rPr>
          <w:rFonts w:hint="eastAsia"/>
          <w:sz w:val="24"/>
        </w:rPr>
        <w:t>模型与算力管理模块是本平台智能能力的运营中枢与资源基石，其核心使命是确保各类AI模型服务能够稳定、高效、经济地供应，同时实现底层计算资源的精细化管控与弹性调度。该模块通过对异构模型与异构算力的统一抽象与管理，为上层的AI应用开发与运行提供透明、可靠且可扩展的支撑能力。</w:t>
      </w:r>
    </w:p>
    <w:p w14:paraId="5FE8C38B">
      <w:pPr>
        <w:spacing w:line="360" w:lineRule="auto"/>
        <w:ind w:firstLine="480" w:firstLineChars="200"/>
        <w:rPr>
          <w:sz w:val="24"/>
        </w:rPr>
      </w:pPr>
    </w:p>
    <w:p w14:paraId="7FA29EE2">
      <w:pPr>
        <w:spacing w:line="360" w:lineRule="auto"/>
        <w:ind w:firstLine="480" w:firstLineChars="200"/>
        <w:rPr>
          <w:sz w:val="24"/>
        </w:rPr>
      </w:pPr>
      <w:r>
        <w:rPr>
          <w:rFonts w:hint="eastAsia"/>
          <w:sz w:val="24"/>
        </w:rPr>
        <w:t>在模型统一接入与管理层面，平台构建了一个抽象的模型服务层，旨在屏蔽不同来源、不同架构AI模型的技术细节与接入差异。无论是调用云端托管的商用大模型API（如DeepSeek、GPT），还是部署本地私有的开源模型（如Qwen、ChatGLM），平台均通过集成高性能的推理服务框架（如NVIDIA Triton Inference Server或开源vLLM）进行标准化封装。这些框架将模型的原始文件或API端点包装成统一的gRPC或RESTful推理服务端点，对外提供一致的预测接口。平台为管理员提供了集中的模型管理界面，在此可以便捷地注册和配置各类模型，包括设置模型的服务端点地址、API密钥（对于云端服务）、版本标签以及描述性元数据。更重要的是，管理员可以在此定义复杂的服务策略，例如配置基于请求负载或模型实例健康状态的智能路由与负载均衡规则，以确保服务的高可用性；同时可以设置服务降级方案，当主要模型服务出现故障或响应超时时，能够自动且平滑地切换到备用模型或简化服务模式，保障关键业务链路的连续性。模型服务层还持续收集每个模型的推理性能指标（如吞吐量、延迟、错误率）和资源消耗数据，为容量规划与成本优化提供依据。</w:t>
      </w:r>
    </w:p>
    <w:p w14:paraId="1CB639D1">
      <w:pPr>
        <w:spacing w:line="360" w:lineRule="auto"/>
        <w:ind w:firstLine="480" w:firstLineChars="200"/>
        <w:rPr>
          <w:sz w:val="24"/>
        </w:rPr>
      </w:pPr>
    </w:p>
    <w:p w14:paraId="15D4C831">
      <w:pPr>
        <w:spacing w:line="360" w:lineRule="auto"/>
        <w:ind w:firstLine="480" w:firstLineChars="200"/>
        <w:rPr>
          <w:sz w:val="24"/>
        </w:rPr>
      </w:pPr>
      <w:r>
        <w:rPr>
          <w:rFonts w:hint="eastAsia"/>
          <w:sz w:val="24"/>
        </w:rPr>
        <w:t>在算力资源监测与调度方面，平台深度依托云原生技术栈，构建了从资源感知、动态调度到弹性伸缩的完整自动化管理体系。基于轻量级Kubernetes发行版K3s构建的容器化集群是所有服务运行的统一底座。为了实现对算力资源的全景式洞察，平台集成了以Prometheus为核心的可观测性套件，通过部署在各个节点的Exporter实时、高频地采集集群的整体与细部资源指标，包括但不限于所有节点的CPU与内存利用率、GPU卡的显存占用与计算负载、网络带宽吞吐、以及持久化存储的IOPS与延迟。这些海量的时序指标数据通过Grafana提供的丰富仪表板进行可视化呈现，管理员可以一目了然地掌握整个平台的资源健康状态、瓶颈所在及历史趋势。监控的目的是为了智能化地调度。平台充分利用Kubernetes的原生自动化能力，为承载AI推理服务或批量数据处理任务的微服务部署配置水平Pod自动伸缩策略。HPA控制器会持续监测这些服务部署的特定指标（如CPU利用率或自定义的应用QPS），当指标超过预设阈值时，自动触发扩容操作，增加Pod实例数量以分担负载；当负载下降时，则自动缩减实例以释放资源，从而实现计算资源的弹性伸缩，在应对访问高峰与节约常态成本之间取得平衡。对于非长期运行的计算密集型作业，例如大规模的模型训练任务或周期性的数据预处理流水线，平台通过作业调度器（如Apache Airflow）与Kubernetes集群的深度集成来进行管理。这些作业被定义为Kubernetes Job或Spark on K8s任务，调度器在需要执行时才会在集群中创建临时的Pod来运行任务，任务一旦执行完毕，所有关联的计算资源立即被回收，确保了集群资源的充分利用，避免了长期占用造成的浪费。</w:t>
      </w:r>
    </w:p>
    <w:p w14:paraId="1F10BB4C">
      <w:pPr>
        <w:spacing w:line="360" w:lineRule="auto"/>
        <w:ind w:firstLine="480" w:firstLineChars="200"/>
        <w:rPr>
          <w:sz w:val="24"/>
        </w:rPr>
      </w:pPr>
    </w:p>
    <w:p w14:paraId="5FEE0EA0">
      <w:pPr>
        <w:spacing w:line="360" w:lineRule="auto"/>
        <w:ind w:firstLine="480" w:firstLineChars="200"/>
        <w:rPr>
          <w:sz w:val="24"/>
        </w:rPr>
      </w:pPr>
      <w:r>
        <w:rPr>
          <w:rFonts w:hint="eastAsia"/>
          <w:sz w:val="24"/>
        </w:rPr>
        <w:t>综上所述，模型与算力管理模块通过将模型服务标准化、资源管理自动化的方式，构建了一个灵活、高效且成本可控的AI能力供给平台。它使得上层应用开发者无需关心模型部署的复杂性与资源调配的琐碎细节，能够专注于业务逻辑的创新；同时也使得平台运维者能够借助完善的工具链，以可观测、可干预、可预测的方式，稳健地运营日益增长的AI算力需求。</w:t>
      </w:r>
    </w:p>
    <w:p w14:paraId="4AB3FCEC">
      <w:pPr>
        <w:spacing w:line="360" w:lineRule="auto"/>
        <w:ind w:firstLine="480" w:firstLineChars="200"/>
        <w:rPr>
          <w:sz w:val="24"/>
        </w:rPr>
      </w:pPr>
    </w:p>
    <w:p w14:paraId="75FAB9AE">
      <w:pPr>
        <w:spacing w:line="360" w:lineRule="auto"/>
        <w:ind w:firstLine="480" w:firstLineChars="200"/>
        <w:rPr>
          <w:sz w:val="24"/>
        </w:rPr>
      </w:pPr>
      <w:r>
        <w:rPr>
          <w:rFonts w:hint="eastAsia"/>
          <w:sz w:val="24"/>
        </w:rPr>
        <w:t>以上五大核心模块并非孤立运作，而是通过异步消息事件总线（如Apache Kafka）和服务网格（如Linkerd）等技术相互连接、协同通信，共同构成一个数据驱动、能力闭环、可自我调节的AI数智集成与开发体系。每个模块的设计都严格遵循“开源、标准、可观测”的核心原则，在确保平台功能强大且敏捷的同时，赋予了其卓越的可靠性、安全性与可维护性，为常州工程职业技术学院的数字化转型提供了坚实而智能的技术内核。</w:t>
      </w:r>
    </w:p>
    <w:p w14:paraId="2EB24126">
      <w:pPr>
        <w:spacing w:line="360" w:lineRule="auto"/>
        <w:ind w:firstLine="480" w:firstLineChars="200"/>
        <w:rPr>
          <w:sz w:val="24"/>
        </w:rPr>
      </w:pPr>
    </w:p>
    <w:p w14:paraId="7396D09A">
      <w:pPr>
        <w:spacing w:line="360" w:lineRule="auto"/>
        <w:ind w:firstLine="480" w:firstLineChars="200"/>
        <w:rPr>
          <w:sz w:val="24"/>
        </w:rPr>
      </w:pPr>
    </w:p>
    <w:p w14:paraId="24950F29">
      <w:pPr>
        <w:spacing w:line="360" w:lineRule="auto"/>
        <w:ind w:firstLine="480" w:firstLineChars="200"/>
        <w:rPr>
          <w:sz w:val="24"/>
        </w:rPr>
      </w:pPr>
    </w:p>
    <w:p w14:paraId="077A08E1">
      <w:pPr>
        <w:numPr>
          <w:ilvl w:val="1"/>
          <w:numId w:val="1"/>
        </w:numPr>
        <w:spacing w:line="360" w:lineRule="auto"/>
        <w:outlineLvl w:val="1"/>
        <w:rPr>
          <w:b/>
          <w:bCs/>
          <w:sz w:val="30"/>
          <w:szCs w:val="30"/>
        </w:rPr>
      </w:pPr>
      <w:bookmarkStart w:id="41" w:name="_Toc221113266"/>
      <w:r>
        <w:rPr>
          <w:b/>
          <w:bCs/>
          <w:sz w:val="30"/>
          <w:szCs w:val="30"/>
        </w:rPr>
        <w:t>系统集成与扩展设计</w:t>
      </w:r>
      <w:bookmarkEnd w:id="41"/>
    </w:p>
    <w:p w14:paraId="6FB34A72">
      <w:pPr>
        <w:spacing w:line="360" w:lineRule="auto"/>
        <w:rPr>
          <w:sz w:val="24"/>
        </w:rPr>
      </w:pPr>
    </w:p>
    <w:p w14:paraId="4C3BE5C8">
      <w:pPr>
        <w:spacing w:line="360" w:lineRule="auto"/>
        <w:ind w:firstLine="480" w:firstLineChars="200"/>
        <w:rPr>
          <w:sz w:val="24"/>
        </w:rPr>
      </w:pPr>
      <w:r>
        <w:rPr>
          <w:sz w:val="24"/>
        </w:rPr>
        <w:t>本平台的系统集成与扩展设计，是实现“开放式创新平台”愿景的关键技术桥梁。其目标是在确保平台内核稳定、自主可控的前提下，无缝融入学校现有信息化生态，并为未来的能力演进预留充分弹性。设计严格遵循总体架构中定义的标准化与开放性原则，依托微服务与云原生技术基底，构建了一套以 “API优先、事件驱动、插件化架构” 为核心的集成扩展体系</w:t>
      </w:r>
      <w:r>
        <w:rPr>
          <w:rFonts w:hint="eastAsia"/>
          <w:sz w:val="24"/>
        </w:rPr>
        <w:t>，如图24所示</w:t>
      </w:r>
      <w:r>
        <w:rPr>
          <w:sz w:val="24"/>
        </w:rPr>
        <w:t>。</w:t>
      </w:r>
    </w:p>
    <w:p w14:paraId="30EB18ED">
      <w:pPr>
        <w:spacing w:line="360" w:lineRule="auto"/>
        <w:jc w:val="center"/>
        <w:rPr>
          <w:b/>
          <w:bCs/>
        </w:rPr>
      </w:pPr>
      <w:r>
        <w:rPr>
          <w:b/>
          <w:bCs/>
        </w:rPr>
        <w:drawing>
          <wp:anchor distT="0" distB="0" distL="114300" distR="114300" simplePos="0" relativeHeight="251673600" behindDoc="0" locked="0" layoutInCell="1" allowOverlap="1">
            <wp:simplePos x="0" y="0"/>
            <wp:positionH relativeFrom="column">
              <wp:posOffset>-216535</wp:posOffset>
            </wp:positionH>
            <wp:positionV relativeFrom="paragraph">
              <wp:posOffset>117475</wp:posOffset>
            </wp:positionV>
            <wp:extent cx="5588000" cy="2098040"/>
            <wp:effectExtent l="114300" t="114300" r="146050" b="149860"/>
            <wp:wrapSquare wrapText="bothSides"/>
            <wp:docPr id="10789086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908605" name="图片 1"/>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588000" cy="2098040"/>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rFonts w:hint="eastAsia"/>
          <w:b/>
          <w:bCs/>
        </w:rPr>
        <w:t xml:space="preserve">图24 </w:t>
      </w:r>
      <w:r>
        <w:rPr>
          <w:b/>
          <w:bCs/>
        </w:rPr>
        <w:t>系统集成与扩展设计</w:t>
      </w:r>
    </w:p>
    <w:p w14:paraId="46280BD2">
      <w:pPr>
        <w:spacing w:line="360" w:lineRule="auto"/>
        <w:rPr>
          <w:sz w:val="24"/>
        </w:rPr>
      </w:pPr>
    </w:p>
    <w:p w14:paraId="095A5B52">
      <w:pPr>
        <w:numPr>
          <w:ilvl w:val="2"/>
          <w:numId w:val="1"/>
        </w:numPr>
        <w:spacing w:line="360" w:lineRule="auto"/>
        <w:outlineLvl w:val="2"/>
        <w:rPr>
          <w:b/>
          <w:bCs/>
          <w:sz w:val="28"/>
          <w:szCs w:val="28"/>
        </w:rPr>
      </w:pPr>
      <w:bookmarkStart w:id="42" w:name="_Toc221113267"/>
      <w:r>
        <w:rPr>
          <w:b/>
          <w:bCs/>
          <w:sz w:val="28"/>
          <w:szCs w:val="28"/>
        </w:rPr>
        <w:t>与校本数据中心的深度集成</w:t>
      </w:r>
      <w:bookmarkEnd w:id="42"/>
    </w:p>
    <w:p w14:paraId="6A6E1F12">
      <w:pPr>
        <w:spacing w:line="360" w:lineRule="auto"/>
        <w:rPr>
          <w:sz w:val="24"/>
        </w:rPr>
      </w:pPr>
    </w:p>
    <w:p w14:paraId="1DAADDEB">
      <w:pPr>
        <w:spacing w:line="360" w:lineRule="auto"/>
        <w:ind w:firstLine="480" w:firstLineChars="200"/>
        <w:rPr>
          <w:sz w:val="24"/>
        </w:rPr>
      </w:pPr>
      <w:r>
        <w:rPr>
          <w:sz w:val="24"/>
        </w:rPr>
        <w:t>平台将校本数据中心视为唯一权威数据源，遵循“只对接、不复制”的原则进行深度集成。这不仅是数据层面的连通，更是身份、权限与数据服务能力的统一。</w:t>
      </w:r>
    </w:p>
    <w:p w14:paraId="3F1034D2">
      <w:pPr>
        <w:spacing w:line="360" w:lineRule="auto"/>
        <w:ind w:firstLine="480" w:firstLineChars="200"/>
        <w:rPr>
          <w:sz w:val="24"/>
        </w:rPr>
      </w:pPr>
    </w:p>
    <w:p w14:paraId="6BC73BD2">
      <w:pPr>
        <w:spacing w:line="360" w:lineRule="auto"/>
        <w:ind w:firstLine="480" w:firstLineChars="200"/>
        <w:rPr>
          <w:sz w:val="24"/>
        </w:rPr>
      </w:pPr>
      <w:r>
        <w:rPr>
          <w:sz w:val="24"/>
        </w:rPr>
        <w:t>在数据接口对接层面，平台采用 Apache SeaTunnel 作为统一的数据集成引擎。该引擎已预置了与常见数据库（如MySQL, PostgreSQL）、API接口（基于RESTful或GraphQL）及文件系统（如MinIO/S3, HDFS）的连接器。通过图形化配置，即可建立从校本数据中心到本平台数据湖（基于Apache Iceberg）的实时或批量数据同步管道。所有数据流动均通过平台内置的Apache Atlas元数据管理服务自动记录血缘关系，确保从源头到AI应用的数据链路全程可追溯、可审计。</w:t>
      </w:r>
    </w:p>
    <w:p w14:paraId="554ED7D5">
      <w:pPr>
        <w:spacing w:line="360" w:lineRule="auto"/>
        <w:ind w:firstLine="480" w:firstLineChars="200"/>
        <w:rPr>
          <w:sz w:val="24"/>
        </w:rPr>
      </w:pPr>
    </w:p>
    <w:p w14:paraId="4CBAD9A0">
      <w:pPr>
        <w:spacing w:line="360" w:lineRule="auto"/>
        <w:ind w:firstLine="480" w:firstLineChars="200"/>
        <w:rPr>
          <w:sz w:val="24"/>
        </w:rPr>
      </w:pPr>
      <w:r>
        <w:rPr>
          <w:sz w:val="24"/>
        </w:rPr>
        <w:t>身份统一认证与权限同步通过深度集成开源IAM解决方案 Keycloak 实现。平台将Keycloak配置为与学校统一身份认证系统（如CAS、OAuth 2.0身份提供商）的信任代理。当用户访问平台时，Keycloak负责完成与学校认证中心的交互，获取包含用户标识与基础属性的标准安全令牌（JWT）。更重要的是，平台通过Keycloak的自定义用户联邦（User Federation）与角色映射（Role Mapping）机制，可实时或定期从校本数据中心的组织机构、角色库中同步用户-部门-岗位关系，并将其转化为平台内部的细粒度访问控制策略。这一设计确保了平台权限体系与学校整体人事、业务组织结构的一致性，实现了“一处维护，处处生效”。</w:t>
      </w:r>
    </w:p>
    <w:p w14:paraId="373BA166">
      <w:pPr>
        <w:spacing w:line="360" w:lineRule="auto"/>
        <w:ind w:firstLine="480" w:firstLineChars="200"/>
        <w:rPr>
          <w:sz w:val="24"/>
        </w:rPr>
      </w:pPr>
    </w:p>
    <w:p w14:paraId="05AB8A78">
      <w:pPr>
        <w:spacing w:line="360" w:lineRule="auto"/>
        <w:ind w:firstLine="480" w:firstLineChars="200"/>
        <w:rPr>
          <w:sz w:val="24"/>
        </w:rPr>
      </w:pPr>
      <w:r>
        <w:rPr>
          <w:sz w:val="24"/>
        </w:rPr>
        <w:t>下图</w:t>
      </w:r>
      <w:r>
        <w:rPr>
          <w:rFonts w:hint="eastAsia"/>
          <w:sz w:val="24"/>
        </w:rPr>
        <w:t>25</w:t>
      </w:r>
      <w:r>
        <w:rPr>
          <w:sz w:val="24"/>
        </w:rPr>
        <w:t>阐述了平台与校本数据中心集成的核心数据流与安全控制流：</w:t>
      </w:r>
    </w:p>
    <w:p w14:paraId="20EBCADA">
      <w:pPr>
        <w:spacing w:line="360" w:lineRule="auto"/>
        <w:jc w:val="center"/>
        <w:rPr>
          <w:sz w:val="24"/>
        </w:rPr>
      </w:pPr>
      <w:r>
        <w:rPr>
          <w:sz w:val="24"/>
        </w:rPr>
        <w:drawing>
          <wp:inline distT="0" distB="0" distL="114300" distR="114300">
            <wp:extent cx="2326640" cy="5415915"/>
            <wp:effectExtent l="0" t="0" r="0" b="0"/>
            <wp:docPr id="11" name="图片 11" descr="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4.1"/>
                    <pic:cNvPicPr>
                      <a:picLocks noChangeAspect="1"/>
                    </pic:cNvPicPr>
                  </pic:nvPicPr>
                  <pic:blipFill>
                    <a:blip r:embed="rId29"/>
                    <a:stretch>
                      <a:fillRect/>
                    </a:stretch>
                  </pic:blipFill>
                  <pic:spPr>
                    <a:xfrm>
                      <a:off x="0" y="0"/>
                      <a:ext cx="2330911" cy="5425899"/>
                    </a:xfrm>
                    <a:prstGeom prst="rect">
                      <a:avLst/>
                    </a:prstGeom>
                  </pic:spPr>
                </pic:pic>
              </a:graphicData>
            </a:graphic>
          </wp:inline>
        </w:drawing>
      </w:r>
    </w:p>
    <w:p w14:paraId="10D1DBF3">
      <w:pPr>
        <w:pStyle w:val="2"/>
        <w:spacing w:line="360" w:lineRule="auto"/>
        <w:jc w:val="center"/>
        <w:rPr>
          <w:rFonts w:asciiTheme="minorHAnsi" w:hAnsiTheme="minorHAnsi" w:eastAsiaTheme="minorEastAsia"/>
          <w:b/>
          <w:bCs/>
          <w:sz w:val="21"/>
        </w:rPr>
      </w:pPr>
      <w:r>
        <w:rPr>
          <w:rFonts w:hint="eastAsia" w:asciiTheme="minorHAnsi" w:hAnsiTheme="minorHAnsi" w:eastAsiaTheme="minorEastAsia"/>
          <w:b/>
          <w:bCs/>
          <w:sz w:val="21"/>
        </w:rPr>
        <w:t>图25 平台与校本数据中心集成的核心数据流与安全控制流</w:t>
      </w:r>
    </w:p>
    <w:p w14:paraId="4E36601F">
      <w:pPr>
        <w:numPr>
          <w:ilvl w:val="2"/>
          <w:numId w:val="1"/>
        </w:numPr>
        <w:spacing w:line="360" w:lineRule="auto"/>
        <w:outlineLvl w:val="2"/>
        <w:rPr>
          <w:b/>
          <w:bCs/>
          <w:sz w:val="28"/>
          <w:szCs w:val="28"/>
        </w:rPr>
      </w:pPr>
      <w:bookmarkStart w:id="43" w:name="_Toc221113268"/>
      <w:r>
        <w:rPr>
          <w:b/>
          <w:bCs/>
          <w:sz w:val="28"/>
          <w:szCs w:val="28"/>
        </w:rPr>
        <w:t>与智慧校园平台的融合集成</w:t>
      </w:r>
      <w:bookmarkEnd w:id="43"/>
    </w:p>
    <w:p w14:paraId="171268C5">
      <w:pPr>
        <w:spacing w:line="360" w:lineRule="auto"/>
        <w:rPr>
          <w:sz w:val="24"/>
        </w:rPr>
      </w:pPr>
    </w:p>
    <w:p w14:paraId="384A096F">
      <w:pPr>
        <w:spacing w:line="360" w:lineRule="auto"/>
        <w:ind w:firstLine="480" w:firstLineChars="200"/>
        <w:rPr>
          <w:sz w:val="24"/>
        </w:rPr>
      </w:pPr>
      <w:r>
        <w:rPr>
          <w:sz w:val="24"/>
        </w:rPr>
        <w:t>平台定位为智慧校园体系中的“AI能力中台”，其与智慧校园门户的集成旨在超越简单的链接跳转，构建一个在用户体验、安全治理与上下文智能层面深度耦合的统一体，确保AI能力能够自然、安全、个性化地赋能校园全场景。</w:t>
      </w:r>
    </w:p>
    <w:p w14:paraId="0B58C630">
      <w:pPr>
        <w:spacing w:line="360" w:lineRule="auto"/>
        <w:ind w:firstLine="480" w:firstLineChars="200"/>
        <w:rPr>
          <w:sz w:val="24"/>
        </w:rPr>
      </w:pPr>
    </w:p>
    <w:p w14:paraId="67B7D143">
      <w:pPr>
        <w:spacing w:line="360" w:lineRule="auto"/>
        <w:ind w:firstLine="480" w:firstLineChars="200"/>
        <w:rPr>
          <w:sz w:val="24"/>
        </w:rPr>
      </w:pPr>
      <w:r>
        <w:rPr>
          <w:sz w:val="24"/>
        </w:rPr>
        <w:t>为实现统一入口与无缝的单点登录体验，平台采用基于OAuth 2.0与OpenID Connect的标准化协议族。智慧校园门户可通过微前端架构或内嵌链接方式集成平台入口。当用户访问时，请求将被重定向至平台集成的Keycloak认证代理。Keycloak作为信赖方，与学校现有的统一身份认证中心建立信任关系，引导用户完成原生认证流程。认证成功后，Keycloak不仅进行基础的令牌交换，更通过预配置的声明与角色映射规则，将来自校园IDP的用户身份、所属部门、岗位等属性转化为平台内部可识别的用户画像与角色集合，并据此签发携带平台自定义声明的JWT令牌。该令牌随后被传递至平台前端应用，作为后续所有API请求的身份凭证，从而实现“一次登录，全网通行”的流畅体验，并对用户完全透明。</w:t>
      </w:r>
    </w:p>
    <w:p w14:paraId="11E3EF87">
      <w:pPr>
        <w:spacing w:line="360" w:lineRule="auto"/>
        <w:ind w:firstLine="480" w:firstLineChars="200"/>
        <w:rPr>
          <w:sz w:val="24"/>
        </w:rPr>
      </w:pPr>
    </w:p>
    <w:p w14:paraId="7068CF01">
      <w:pPr>
        <w:spacing w:line="360" w:lineRule="auto"/>
        <w:ind w:firstLine="480" w:firstLineChars="200"/>
        <w:rPr>
          <w:sz w:val="24"/>
        </w:rPr>
      </w:pPr>
      <w:r>
        <w:rPr>
          <w:sz w:val="24"/>
        </w:rPr>
        <w:t>在实现单点登录的基础上，平台进一步深化了权限映射与上下文的智能共享。权限的精细化控制通过平台内部统一的权限决策服务与API网关协同实现。当携带JWT的请求抵达Apache APISIX网关时，网关首先验证令牌的签名与有效性，随后将用户上下文传递给平台的权限决策点。该服务依据JWT中内嵌的角色、属性信息以及预定义的RBAC/ABAC策略模型，对用户请求访问的资源路径和操作类型进行实时鉴权，实现动态、细粒度的访问控制。与此同时，为提升用户体验的智能化水平，平台支持安全的上下文传递机制。智慧校园门户在引导用户进入平台时，可通过加密的URL参数或安全的令牌交换协议，将当前会话的上下文信息（例如用户所在院系、当前学年学期、正在处理的教学任务编号）传递给平台后端。平台解密并解析这些上下文后，可驱动前端界面自适应展示，例如默认加载该院系的知识库、筛选对应学期的数据、或预置相关业务的工作流模板，使得AI应用能够精准适配用户当前的工作场景，提供高度个性化的服务。</w:t>
      </w:r>
    </w:p>
    <w:p w14:paraId="7FDA45B5">
      <w:pPr>
        <w:spacing w:line="360" w:lineRule="auto"/>
        <w:ind w:firstLine="480" w:firstLineChars="200"/>
        <w:rPr>
          <w:sz w:val="24"/>
        </w:rPr>
      </w:pPr>
    </w:p>
    <w:p w14:paraId="73B123C4">
      <w:pPr>
        <w:spacing w:line="360" w:lineRule="auto"/>
        <w:ind w:firstLine="480" w:firstLineChars="200"/>
        <w:rPr>
          <w:sz w:val="24"/>
        </w:rPr>
      </w:pPr>
      <w:r>
        <w:rPr>
          <w:sz w:val="24"/>
        </w:rPr>
        <w:t>在会话管理与安全性层面，平台设计了完整的安全增强与一致性保障机制。为确保会话状态的一致性，平台与Keycloak及校园认证中心支持前端/后端通道注销协议，当用户在任一集成系统中主动登出时，注销事件将广播至所有相关系统，同步销毁本地会话，防止会话残留风险。在令牌安全方面，平台签发的JWT采用RS256等非对称加密算法进行签名，私钥由平台安全保管，公钥配置于API网关以供验证，有效防止令牌篡改。令牌设有合理的短有效期，并配合刷新令牌机制，在保障安全的同时兼顾用户体验的连续性。此外，整个集成链路上的所有关键事件——包括认证请求、权限决策、上下文传递与管理操作——均被完整记录并结构化为审计日志。这些日志不仅用于平台内部的安全分析，还可通过标准化接口对接学校统一的日志审计与安全管理平台，满足网络安全等级保护对身份鉴别、访问控制和安全审计的合规性要求，构建起可追溯、可问责的信任体系。</w:t>
      </w:r>
    </w:p>
    <w:p w14:paraId="6DB60F82">
      <w:pPr>
        <w:spacing w:line="360" w:lineRule="auto"/>
        <w:ind w:firstLine="480" w:firstLineChars="200"/>
        <w:rPr>
          <w:sz w:val="24"/>
        </w:rPr>
      </w:pPr>
    </w:p>
    <w:p w14:paraId="7C7DF16C">
      <w:pPr>
        <w:spacing w:line="360" w:lineRule="auto"/>
        <w:ind w:firstLine="480" w:firstLineChars="200"/>
        <w:rPr>
          <w:sz w:val="24"/>
        </w:rPr>
      </w:pPr>
      <w:r>
        <w:rPr>
          <w:sz w:val="24"/>
        </w:rPr>
        <w:t>通过上述多层次、深度的技术集成，平台成功地从技术层面实现了与智慧校园生态的“肌体融合”，不仅提供了统一的访问入口，更实现了身份、权限、数据和业务上下文的贯通，使AI数智能力成为智慧校园有机体中能够自主感知、智能响应、安全可控的“神经中枢”，为全校师生提供一体化的智能服务体验。</w:t>
      </w:r>
    </w:p>
    <w:p w14:paraId="06A3BE8A">
      <w:pPr>
        <w:spacing w:line="360" w:lineRule="auto"/>
        <w:rPr>
          <w:sz w:val="24"/>
        </w:rPr>
      </w:pPr>
    </w:p>
    <w:p w14:paraId="52D162D0">
      <w:pPr>
        <w:numPr>
          <w:ilvl w:val="2"/>
          <w:numId w:val="1"/>
        </w:numPr>
        <w:spacing w:line="360" w:lineRule="auto"/>
        <w:outlineLvl w:val="2"/>
        <w:rPr>
          <w:b/>
          <w:bCs/>
          <w:sz w:val="28"/>
          <w:szCs w:val="28"/>
        </w:rPr>
      </w:pPr>
      <w:bookmarkStart w:id="44" w:name="_Toc221113269"/>
      <w:r>
        <w:rPr>
          <w:b/>
          <w:bCs/>
          <w:sz w:val="28"/>
          <w:szCs w:val="28"/>
        </w:rPr>
        <w:t>开放API体系与生态构建</w:t>
      </w:r>
      <w:bookmarkEnd w:id="44"/>
    </w:p>
    <w:p w14:paraId="45C8A59F">
      <w:pPr>
        <w:spacing w:line="360" w:lineRule="auto"/>
        <w:rPr>
          <w:sz w:val="24"/>
        </w:rPr>
      </w:pPr>
    </w:p>
    <w:p w14:paraId="3D86995B">
      <w:pPr>
        <w:spacing w:line="360" w:lineRule="auto"/>
        <w:ind w:firstLine="480" w:firstLineChars="200"/>
        <w:rPr>
          <w:sz w:val="24"/>
        </w:rPr>
      </w:pPr>
      <w:r>
        <w:rPr>
          <w:sz w:val="24"/>
        </w:rPr>
        <w:t>平台的开放性是生态繁荣的基石。为此，我们设计并实现了以“管理、开放、治理”为核心的三位一体API开放体系，旨在提供安全、高效、可观测且易于集成的能力输出。</w:t>
      </w:r>
    </w:p>
    <w:p w14:paraId="6FB614AB">
      <w:pPr>
        <w:spacing w:line="360" w:lineRule="auto"/>
        <w:ind w:firstLine="480" w:firstLineChars="200"/>
        <w:rPr>
          <w:sz w:val="24"/>
        </w:rPr>
      </w:pPr>
    </w:p>
    <w:p w14:paraId="3743D171">
      <w:pPr>
        <w:spacing w:line="360" w:lineRule="auto"/>
        <w:ind w:firstLine="480" w:firstLineChars="200"/>
        <w:rPr>
          <w:sz w:val="24"/>
        </w:rPr>
      </w:pPr>
      <w:r>
        <w:rPr>
          <w:sz w:val="24"/>
        </w:rPr>
        <w:t>所有内部微服务均通过高性能的Apache APISIX API网关统一暴露。该网关作为体系的技术枢纽，负责协议转换、动态路由以及核心安全策略的执行。它集成JWT、Key Auth等插件对每次请求进行强制鉴权，并通过限流与熔断插件实现基于服务、用户或IP的精细化流量控制，以保障后端服务的稳定性。在接口设计上，我们强制要求所有服务严格遵守OpenAPI 3.0规范进行描述性定义。基于此标准化YAML文件，平台利用Swagger UI与Redoc自动生成可交互的API文档站点，开发者不仅能直接浏览详尽的模型定义与约束，还能在线尝试API调用并查看实时响应，极大提升了集成的便捷性。同时，该规范文件也支撑着多语言客户端SDK的自动生成。</w:t>
      </w:r>
    </w:p>
    <w:p w14:paraId="3FC6B67D">
      <w:pPr>
        <w:spacing w:line="360" w:lineRule="auto"/>
        <w:ind w:firstLine="480" w:firstLineChars="200"/>
        <w:rPr>
          <w:sz w:val="24"/>
        </w:rPr>
      </w:pPr>
    </w:p>
    <w:p w14:paraId="4553BC77">
      <w:pPr>
        <w:spacing w:line="360" w:lineRule="auto"/>
        <w:ind w:firstLine="480" w:firstLineChars="200"/>
        <w:rPr>
          <w:sz w:val="24"/>
        </w:rPr>
      </w:pPr>
      <w:r>
        <w:rPr>
          <w:sz w:val="24"/>
        </w:rPr>
        <w:t>为满足多样化的集成需求，平台提供了分层分类的API服务。面向业务场景，我们开放了涵盖数据资产查询、AI模型调用、工作流触发及知识库检索的核心业务功能API。例如，外部教学管理系统可通过调用“智能排课建议”API，传入结构化约束条件，以异步任务方式获取由平台内部工作流引擎与优化算法生成的方案。同时，平台也提供了用于查询自身健康状态、暴露监控指标及管理部分配置的管理运维API，以便与校内现有的IT运维体系无缝对接。所有API均采用版本化策略进行管理。</w:t>
      </w:r>
    </w:p>
    <w:p w14:paraId="38720004">
      <w:pPr>
        <w:spacing w:line="360" w:lineRule="auto"/>
        <w:ind w:firstLine="480" w:firstLineChars="200"/>
        <w:rPr>
          <w:sz w:val="24"/>
        </w:rPr>
      </w:pPr>
    </w:p>
    <w:p w14:paraId="08776AAE">
      <w:pPr>
        <w:spacing w:line="360" w:lineRule="auto"/>
        <w:ind w:firstLine="480" w:firstLineChars="200"/>
        <w:rPr>
          <w:sz w:val="24"/>
        </w:rPr>
      </w:pPr>
      <w:r>
        <w:rPr>
          <w:sz w:val="24"/>
        </w:rPr>
        <w:t>为确保整个API生态的安全与有序，平台构建了以开发者门户为核心的全链路治理闭环。该门户基于Backstage框架构建，作为一站式服务市场，校内开发者可在此浏览所有开放的API、在线申请与管理API Key及调用配额。所有API调用均需经过网关的严格鉴权，其产生的详细访问日志（包括请求/响应信息、客户端标识及性能数据）被实时汇聚至Grafana Loki日志集群。这些按租户与API Key索引的日志，既用于通过LogQL进行安全审计与异常模式分析，也为基于预置规则的精细化计费提供了数据基础，形成了从注册、使用到监控、审计的完整治理回路。</w:t>
      </w:r>
    </w:p>
    <w:p w14:paraId="684444CA">
      <w:pPr>
        <w:spacing w:line="360" w:lineRule="auto"/>
        <w:rPr>
          <w:sz w:val="24"/>
        </w:rPr>
      </w:pPr>
    </w:p>
    <w:p w14:paraId="1E0FE056">
      <w:pPr>
        <w:numPr>
          <w:ilvl w:val="2"/>
          <w:numId w:val="1"/>
        </w:numPr>
        <w:spacing w:line="360" w:lineRule="auto"/>
        <w:outlineLvl w:val="2"/>
        <w:rPr>
          <w:b/>
          <w:bCs/>
          <w:sz w:val="28"/>
          <w:szCs w:val="28"/>
        </w:rPr>
      </w:pPr>
      <w:bookmarkStart w:id="45" w:name="_Toc221113270"/>
      <w:r>
        <w:rPr>
          <w:b/>
          <w:bCs/>
          <w:sz w:val="28"/>
          <w:szCs w:val="28"/>
        </w:rPr>
        <w:t>插件化扩展与模块化升级架构</w:t>
      </w:r>
      <w:bookmarkEnd w:id="45"/>
    </w:p>
    <w:p w14:paraId="621E0CBF">
      <w:pPr>
        <w:spacing w:line="360" w:lineRule="auto"/>
        <w:rPr>
          <w:sz w:val="24"/>
        </w:rPr>
      </w:pPr>
    </w:p>
    <w:p w14:paraId="35DBDC7F">
      <w:pPr>
        <w:spacing w:line="360" w:lineRule="auto"/>
        <w:ind w:firstLine="480" w:firstLineChars="200"/>
        <w:rPr>
          <w:sz w:val="24"/>
        </w:rPr>
      </w:pPr>
      <w:r>
        <w:rPr>
          <w:sz w:val="24"/>
        </w:rPr>
        <w:t>平台的扩展性设计贯穿于从基础设施到应用模型的各个层面，旨在确保平台能够伴随学校业务发展与技术演进，实现平滑、可控、低风险的能力扩充与系统升级。该设计以“高内聚、松耦合”为核心原则，通过标准化的接口定义、容器化的部署单元、声明式的配置管理以及自动化的运维流程，构建一个既稳定又灵活的技术基座。</w:t>
      </w:r>
    </w:p>
    <w:p w14:paraId="4EA6B732">
      <w:pPr>
        <w:spacing w:line="360" w:lineRule="auto"/>
        <w:ind w:firstLine="480" w:firstLineChars="200"/>
        <w:rPr>
          <w:sz w:val="24"/>
        </w:rPr>
      </w:pPr>
    </w:p>
    <w:p w14:paraId="6CCEE8CE">
      <w:pPr>
        <w:spacing w:line="360" w:lineRule="auto"/>
        <w:ind w:firstLine="480" w:firstLineChars="200"/>
        <w:rPr>
          <w:sz w:val="24"/>
        </w:rPr>
      </w:pPr>
      <w:r>
        <w:rPr>
          <w:sz w:val="24"/>
        </w:rPr>
        <w:t>1</w:t>
      </w:r>
      <w:r>
        <w:rPr>
          <w:rFonts w:hint="eastAsia"/>
          <w:sz w:val="24"/>
        </w:rPr>
        <w:t>.</w:t>
      </w:r>
      <w:r>
        <w:rPr>
          <w:sz w:val="24"/>
        </w:rPr>
        <w:t>基础设施层的弹性扩展基座</w:t>
      </w:r>
    </w:p>
    <w:p w14:paraId="58C61966">
      <w:pPr>
        <w:spacing w:line="360" w:lineRule="auto"/>
        <w:ind w:firstLine="480" w:firstLineChars="200"/>
        <w:rPr>
          <w:sz w:val="24"/>
        </w:rPr>
      </w:pPr>
      <w:r>
        <w:rPr>
          <w:sz w:val="24"/>
        </w:rPr>
        <w:t>平台的弹性扩展能力根植于其全栈云原生技术架构，以 Kubernetes (K3s) 作为统一的容器编排与调度引擎。所有平台功能组件，无论是核心服务（如API网关、身份认证）还是业务微服务（如数据治理、模型推理），均被封装为独立的 Docker容器镜像，并通过标准化的 Kubernetes部署描述符 进行声明式管理：利用 Deployment 定义服务的副本数量、滚动更新策略以及Liveness/Readiness健康检查探针，确保服务的无状态性与高可用性；通过 Service 为Pod集合提供稳定的网络端点并实现负载均衡，构成服务发现的基石；而 ConfigMap 与 Secret 则将配置信息与敏感数据从应用代码中彻底分离，实现配置的集中化、外部化与安全管理。平台进一步利用Kubernetes的 Horizontal Pod Autoscaler (HPA)，根据CPU/内存使用率或自定义的QPS、任务队列长度等业务指标，自动调整如AI推理服务、流处理任务等关键服务的Pod实例数量，以智能应对业务负载的波动。结合Kubernetes内置的Pod自我修复机制（自动重启故障容器），共同构建了服务层面的弹性与韧性。为实现复杂功能模块的便捷部署与全生命周期管理，我们采用 Helm 作为Kubernetes的包管理工具，将每个相对独立的功能模块（如“知识库管理套件”、“AI工作流引擎”）打包为一个包含所有Kubernetes资源定义、默认配置及依赖关系的 Helm Chart。通过简单的helm install/upgrade/rollback命令，即可完成模块的一键安装、升级或回滚，极大简化了运维操作，并保证了跨环境部署的一致性与可重复性。</w:t>
      </w:r>
    </w:p>
    <w:p w14:paraId="42C953EB">
      <w:pPr>
        <w:spacing w:line="360" w:lineRule="auto"/>
        <w:ind w:firstLine="480" w:firstLineChars="200"/>
        <w:rPr>
          <w:sz w:val="24"/>
        </w:rPr>
      </w:pPr>
    </w:p>
    <w:p w14:paraId="40A52D7F">
      <w:pPr>
        <w:spacing w:line="360" w:lineRule="auto"/>
        <w:ind w:firstLine="480" w:firstLineChars="200"/>
        <w:rPr>
          <w:sz w:val="24"/>
        </w:rPr>
      </w:pPr>
      <w:r>
        <w:rPr>
          <w:sz w:val="24"/>
        </w:rPr>
        <w:t>2</w:t>
      </w:r>
      <w:r>
        <w:rPr>
          <w:rFonts w:hint="eastAsia"/>
          <w:sz w:val="24"/>
        </w:rPr>
        <w:t>.</w:t>
      </w:r>
      <w:r>
        <w:rPr>
          <w:sz w:val="24"/>
        </w:rPr>
        <w:t>业务能力的“核心+插件”扩展模式</w:t>
      </w:r>
    </w:p>
    <w:p w14:paraId="1BCF33C9">
      <w:pPr>
        <w:spacing w:line="360" w:lineRule="auto"/>
        <w:ind w:firstLine="480" w:firstLineChars="200"/>
        <w:rPr>
          <w:sz w:val="24"/>
        </w:rPr>
      </w:pPr>
      <w:r>
        <w:rPr>
          <w:sz w:val="24"/>
        </w:rPr>
        <w:t>为在保持平台核心框架稳定的同时，敏捷响应多样化的业务定制与生态集成需求，平台采用 “核心+插件” 架构模式。平台核心定义了一套稳定的 服务提供者接口 (SPI) 和统一的插件加载机制，允许第三方开发者或校内技术团队以插件形式灵活扩展平台能力。在算法模型扩展方面，平台定义了统一的算法接口规范，例如用于模型训练的Trainer接口或用于预测的Predictor接口，这些接口通常以Python的Abstract Base Class或Java Interface形式提供，严格规定了插件必须实现的方法及输入输出数据格式。开发者将实现该接口的算法代码及其依赖打包为符合规范的Python Wheel包或JAR包，通过平台管理界面或API注册至 MLflow Model Registry 或平台自有插件仓库。当用户在可视化工作流中配置“自定义算法”节点时，工作流执行引擎能够动态创建隔离环境并加载对应的插件代码执行，其结果无缝汇入工作流数据管道。在数据接入层面，平台基于 Apache SeaTunnel 强大的插件化架构，支持开发者遵循其标准插件接口开发新的数据源连接器。开发者实现特定的SourceConnector类以完成与新型数据库或物联网设备的数据连接、分片与读取逻辑，开发完成的JAR包只需置入指定插件目录，SeaTunnel引擎即可热加载并使其在数据集成配置界面中可用。此外，平台的应用开发环境也支持插件化扩展，前端允许将可复用的Vue 3单文件组件打包发布到“组件市场”，供低代码开发时直接拖拽使用；后端则支持将常用业务逻辑封装为Node.js或Python函数并注册为插件，在工作流中作为可配置的“函数节点”调用，从而极大地丰富了业务逻辑编排的灵活性与复用性。</w:t>
      </w:r>
    </w:p>
    <w:p w14:paraId="770266E8">
      <w:pPr>
        <w:spacing w:line="360" w:lineRule="auto"/>
        <w:ind w:firstLine="480" w:firstLineChars="200"/>
        <w:rPr>
          <w:sz w:val="24"/>
        </w:rPr>
      </w:pPr>
    </w:p>
    <w:p w14:paraId="3232B7A9">
      <w:pPr>
        <w:spacing w:line="360" w:lineRule="auto"/>
        <w:ind w:firstLine="480" w:firstLineChars="200"/>
        <w:rPr>
          <w:sz w:val="24"/>
        </w:rPr>
      </w:pPr>
      <w:r>
        <w:rPr>
          <w:sz w:val="24"/>
        </w:rPr>
        <w:t>3</w:t>
      </w:r>
      <w:r>
        <w:rPr>
          <w:rFonts w:hint="eastAsia"/>
          <w:sz w:val="24"/>
        </w:rPr>
        <w:t>.</w:t>
      </w:r>
      <w:r>
        <w:rPr>
          <w:sz w:val="24"/>
        </w:rPr>
        <w:t>基于GitOps的模块化滚动升级</w:t>
      </w:r>
    </w:p>
    <w:p w14:paraId="5EBC9F17">
      <w:pPr>
        <w:spacing w:line="360" w:lineRule="auto"/>
        <w:ind w:firstLine="480" w:firstLineChars="200"/>
        <w:rPr>
          <w:sz w:val="24"/>
        </w:rPr>
      </w:pPr>
      <w:r>
        <w:rPr>
          <w:sz w:val="24"/>
        </w:rPr>
        <w:t>为实现安全、可靠、可审计的系统升级，平台将 GitOps 范式确立为核心交付与运维准则。在此模式下，平台所有环境（开发、测试、生产）的期望状态——涵盖每个微服务的Kubernetes Deployment、Service、ConfigMap、HPA策略乃至网络策略——均以 YAML 或 Kustomize 清单文件进行声明式描述，并统一存储于 Git 仓库中，使Git仓库成为系统状态唯一的事实来源。我们在Kubernetes集群中部署 ArgoCD 或 Flux 这类GitOps操作符，它们持续监视Git仓库中定义的状态。当需要进行模块升级时，运维人员只需在Git仓库中修改对应模块Deployment的容器镜像标签等配置，并提交代码。GitOps操作符会自动检测到此变更，并将新的期望状态同步至集群。Kubernetes控制器随后会依据Deployment预设的更新策略，自动启动新版本Pod，在确保其通过Readiness探针后，逐步替换旧版本Pod实例。整个过程自动化进行，若新版本启动失败，滚动更新会自动暂停，从而在最大限度减少服务中断的同时，保障了升级过程的可控性与可回滚性。</w:t>
      </w:r>
    </w:p>
    <w:p w14:paraId="05302740">
      <w:pPr>
        <w:spacing w:line="360" w:lineRule="auto"/>
        <w:ind w:firstLine="480" w:firstLineChars="200"/>
        <w:rPr>
          <w:sz w:val="24"/>
        </w:rPr>
      </w:pPr>
    </w:p>
    <w:p w14:paraId="235E7953">
      <w:pPr>
        <w:spacing w:line="360" w:lineRule="auto"/>
        <w:ind w:firstLine="480" w:firstLineChars="200"/>
        <w:rPr>
          <w:sz w:val="24"/>
        </w:rPr>
      </w:pPr>
      <w:r>
        <w:rPr>
          <w:rFonts w:hint="eastAsia"/>
          <w:sz w:val="24"/>
        </w:rPr>
        <w:t>4.</w:t>
      </w:r>
      <w:r>
        <w:rPr>
          <w:sz w:val="24"/>
        </w:rPr>
        <w:t>场景化的动态配置管理</w:t>
      </w:r>
    </w:p>
    <w:p w14:paraId="7A612C08">
      <w:pPr>
        <w:spacing w:line="360" w:lineRule="auto"/>
        <w:ind w:firstLine="480" w:firstLineChars="200"/>
        <w:rPr>
          <w:sz w:val="24"/>
        </w:rPr>
      </w:pPr>
      <w:r>
        <w:rPr>
          <w:sz w:val="24"/>
        </w:rPr>
        <w:t>为满足学校内部不同院系、不同业务场景下对AI应用行为的差异化、精细化管控需求，平台提供了中心化、动态化的配置管理能力。平台集成 Spring Cloud Config Server 或 Apache ZooKeeper 作为统一的动态配置中心，所有微服务（除必要的引导配置外）的运行期配置均从此中心获取。该配置中心支持基于 应用、环境、标签 及自定义业务维度（如 院系）进行配置的多维隔离与继承。例如，可以为“智能学情分析”应用定义全局基线配置，同时为“智能制造学院”和“数字商贸学院”分别覆盖其特有的分析模型参数、阈值告警规则等。当管理员通过配置中心控制台修改并发布特定场景的配置后，配置中心会实时通知相关的应用实例。应用实例借助其框架内置的配置刷新机制（如Spring Cloud的@RefreshScope），在不重启服务的情况下动态重载最新配置，从而实现“一份代码，多套策略”的灵活部署与实时调优，精准适配职业教育中复杂多变的管理与教学场景。</w:t>
      </w:r>
    </w:p>
    <w:p w14:paraId="7CE328A9">
      <w:pPr>
        <w:spacing w:line="360" w:lineRule="auto"/>
        <w:ind w:firstLine="480" w:firstLineChars="200"/>
        <w:rPr>
          <w:sz w:val="24"/>
        </w:rPr>
      </w:pPr>
    </w:p>
    <w:p w14:paraId="319BE20B">
      <w:pPr>
        <w:numPr>
          <w:ilvl w:val="1"/>
          <w:numId w:val="1"/>
        </w:numPr>
        <w:spacing w:line="360" w:lineRule="auto"/>
        <w:outlineLvl w:val="1"/>
        <w:rPr>
          <w:b/>
          <w:bCs/>
          <w:sz w:val="30"/>
          <w:szCs w:val="30"/>
        </w:rPr>
      </w:pPr>
      <w:bookmarkStart w:id="46" w:name="_Toc221113271"/>
      <w:r>
        <w:rPr>
          <w:b/>
          <w:bCs/>
          <w:sz w:val="30"/>
          <w:szCs w:val="30"/>
        </w:rPr>
        <w:t>安全与运维保障设计</w:t>
      </w:r>
      <w:bookmarkEnd w:id="46"/>
    </w:p>
    <w:p w14:paraId="443B8335">
      <w:pPr>
        <w:spacing w:line="360" w:lineRule="auto"/>
        <w:rPr>
          <w:sz w:val="24"/>
        </w:rPr>
      </w:pPr>
    </w:p>
    <w:p w14:paraId="3A255F79">
      <w:pPr>
        <w:spacing w:line="360" w:lineRule="auto"/>
        <w:ind w:firstLine="420" w:firstLineChars="200"/>
        <w:rPr>
          <w:sz w:val="24"/>
        </w:rPr>
      </w:pPr>
      <w:r>
        <w:drawing>
          <wp:anchor distT="0" distB="0" distL="114300" distR="114300" simplePos="0" relativeHeight="251674624" behindDoc="0" locked="0" layoutInCell="1" allowOverlap="1">
            <wp:simplePos x="0" y="0"/>
            <wp:positionH relativeFrom="column">
              <wp:posOffset>-216535</wp:posOffset>
            </wp:positionH>
            <wp:positionV relativeFrom="paragraph">
              <wp:posOffset>1978660</wp:posOffset>
            </wp:positionV>
            <wp:extent cx="5598160" cy="2153285"/>
            <wp:effectExtent l="114300" t="114300" r="154940" b="151765"/>
            <wp:wrapSquare wrapText="bothSides"/>
            <wp:docPr id="4566395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639518" name="图片 1"/>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598160" cy="2153285"/>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sz w:val="24"/>
        </w:rPr>
        <w:t>承前文所述，本平台以开源技术栈为基石，构建了一个可审计、可修改且无知识产权风险的技术基座。在这一坚实基础上，</w:t>
      </w:r>
      <w:r>
        <w:rPr>
          <w:rFonts w:hint="eastAsia"/>
          <w:sz w:val="24"/>
        </w:rPr>
        <w:t>图26所示的</w:t>
      </w:r>
      <w:r>
        <w:rPr>
          <w:sz w:val="24"/>
        </w:rPr>
        <w:t>安全与运维保障</w:t>
      </w:r>
      <w:r>
        <w:rPr>
          <w:rFonts w:hint="eastAsia"/>
          <w:sz w:val="24"/>
        </w:rPr>
        <w:t>设计</w:t>
      </w:r>
      <w:r>
        <w:rPr>
          <w:sz w:val="24"/>
        </w:rPr>
        <w:t>遵循“内生安全、主动防御、智能运维”的核心理念，将安全能力深度融入平台架构的每一层，并通过云原生可观测性技术实现全链路的精细化运营。本设计不是孤立的安全加固，而是对2.1节中“全链路可观测”、“零信任架构”和“弹性伸缩”等原则的技术实现与深化，构建从数据到服务、从开发到运行的立体化保障体系。</w:t>
      </w:r>
    </w:p>
    <w:p w14:paraId="46CC68EB">
      <w:pPr>
        <w:spacing w:line="360" w:lineRule="auto"/>
        <w:rPr>
          <w:sz w:val="24"/>
        </w:rPr>
      </w:pPr>
    </w:p>
    <w:p w14:paraId="2AE1CF8C">
      <w:pPr>
        <w:spacing w:line="360" w:lineRule="auto"/>
        <w:jc w:val="center"/>
        <w:rPr>
          <w:b/>
          <w:bCs/>
        </w:rPr>
      </w:pPr>
      <w:r>
        <w:rPr>
          <w:rFonts w:hint="eastAsia"/>
          <w:b/>
          <w:bCs/>
        </w:rPr>
        <w:t>图26 安全与运维保障设计</w:t>
      </w:r>
    </w:p>
    <w:p w14:paraId="4A539A60">
      <w:pPr>
        <w:numPr>
          <w:ilvl w:val="2"/>
          <w:numId w:val="1"/>
        </w:numPr>
        <w:spacing w:line="360" w:lineRule="auto"/>
        <w:outlineLvl w:val="2"/>
        <w:rPr>
          <w:b/>
          <w:bCs/>
          <w:sz w:val="28"/>
          <w:szCs w:val="28"/>
        </w:rPr>
      </w:pPr>
      <w:bookmarkStart w:id="47" w:name="_Toc221113272"/>
      <w:r>
        <w:rPr>
          <w:b/>
          <w:bCs/>
          <w:sz w:val="28"/>
          <w:szCs w:val="28"/>
        </w:rPr>
        <w:t>纵深防御与零信任数据安全体系</w:t>
      </w:r>
      <w:bookmarkEnd w:id="47"/>
    </w:p>
    <w:p w14:paraId="04563F80">
      <w:pPr>
        <w:spacing w:line="360" w:lineRule="auto"/>
        <w:rPr>
          <w:sz w:val="24"/>
        </w:rPr>
      </w:pPr>
    </w:p>
    <w:p w14:paraId="7BCED72E">
      <w:pPr>
        <w:spacing w:line="360" w:lineRule="auto"/>
        <w:ind w:firstLine="480" w:firstLineChars="200"/>
        <w:rPr>
          <w:sz w:val="24"/>
        </w:rPr>
      </w:pPr>
      <w:r>
        <w:rPr>
          <w:sz w:val="24"/>
        </w:rPr>
        <w:t>平台的安全设计超越传统的边界防护，构建以身份为中心的零信任数据安全体系，贯穿从基础设施到应用访问的全过程。在微服务架构内部，通过服务网格实现自动化的零信任网络。基于前文选择的Linkerd，我们启用并强制其自动mTLS功能。所有服务间的通信，无论是在同一节点还是跨节点，均需经过双向身份认证和加密，从而在复杂的微服务网络中建立一个默认安全、无需显式配置的通信层，有效防止中间人攻击和服务间横向移动威胁。此机制是系统安全架构的基石，确保了基础设施层的内生安全。</w:t>
      </w:r>
    </w:p>
    <w:p w14:paraId="4921FD11">
      <w:pPr>
        <w:spacing w:line="360" w:lineRule="auto"/>
        <w:ind w:firstLine="480" w:firstLineChars="200"/>
        <w:rPr>
          <w:sz w:val="24"/>
        </w:rPr>
      </w:pPr>
    </w:p>
    <w:p w14:paraId="37F64AAB">
      <w:pPr>
        <w:spacing w:line="360" w:lineRule="auto"/>
        <w:ind w:firstLine="480" w:firstLineChars="200"/>
        <w:rPr>
          <w:sz w:val="24"/>
        </w:rPr>
      </w:pPr>
      <w:r>
        <w:rPr>
          <w:sz w:val="24"/>
        </w:rPr>
        <w:t>数据安全遵循“分类、加密、审计”三步原则，并与2.2.3节的数据湖管理模块深度集成。在元数据管理中内置数据分类标签体系，依据教育部及学校数据管理办法自动或手动对入库数据进行分级打标，数据血缘功能确保分级标签能沿数据处理流水线自动传递。在加密存储与传输层面，所有外部API访问强制使用TLS 1.3，内部服务间通信由Linkerd mTLS保障；对存储在对象存储和数据库中的敏感数据实施字段级加密，采用基于OpenSSL的国密算法进行加密，密钥由集成的Keycloak或外部硬件安全模块管理。对于向量数据库中的嵌入向量，虽其本身不直接暴露明文，但仍对存储卷进行静态加密。结合Keycloak的细粒度权限策略和属性基访问控制，实现精准的访问控制。所有数据访问请求，无论通过API网关还是内部服务调用，均被结构化日志记录，并实时发送至由OpenTelemetry Collector构建的统一审计流水线，最终持久化到Elasticsearch中，供合规审查与溯源分析</w:t>
      </w:r>
      <w:r>
        <w:rPr>
          <w:rFonts w:hint="eastAsia"/>
          <w:sz w:val="24"/>
        </w:rPr>
        <w:t>，上述流程如图27所示</w:t>
      </w:r>
      <w:r>
        <w:rPr>
          <w:sz w:val="24"/>
        </w:rPr>
        <w:t>。</w:t>
      </w:r>
    </w:p>
    <w:p w14:paraId="7E9B659F">
      <w:pPr>
        <w:spacing w:line="360" w:lineRule="auto"/>
        <w:jc w:val="center"/>
        <w:rPr>
          <w:sz w:val="24"/>
        </w:rPr>
      </w:pPr>
      <w:r>
        <w:rPr>
          <w:sz w:val="24"/>
        </w:rPr>
        <w:drawing>
          <wp:inline distT="0" distB="0" distL="114300" distR="114300">
            <wp:extent cx="2296160" cy="8443595"/>
            <wp:effectExtent l="0" t="0" r="2540" b="1905"/>
            <wp:docPr id="14" name="图片 14" descr="2.5.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2.5.1 "/>
                    <pic:cNvPicPr>
                      <a:picLocks noChangeAspect="1"/>
                    </pic:cNvPicPr>
                  </pic:nvPicPr>
                  <pic:blipFill>
                    <a:blip r:embed="rId31"/>
                    <a:stretch>
                      <a:fillRect/>
                    </a:stretch>
                  </pic:blipFill>
                  <pic:spPr>
                    <a:xfrm>
                      <a:off x="0" y="0"/>
                      <a:ext cx="2296160" cy="8443595"/>
                    </a:xfrm>
                    <a:prstGeom prst="rect">
                      <a:avLst/>
                    </a:prstGeom>
                  </pic:spPr>
                </pic:pic>
              </a:graphicData>
            </a:graphic>
          </wp:inline>
        </w:drawing>
      </w:r>
    </w:p>
    <w:p w14:paraId="2A968D5C">
      <w:pPr>
        <w:pStyle w:val="2"/>
        <w:spacing w:line="360" w:lineRule="auto"/>
        <w:jc w:val="center"/>
        <w:rPr>
          <w:rFonts w:asciiTheme="minorHAnsi" w:hAnsiTheme="minorHAnsi" w:eastAsiaTheme="minorEastAsia"/>
          <w:b/>
          <w:bCs/>
          <w:sz w:val="21"/>
        </w:rPr>
      </w:pPr>
      <w:r>
        <w:rPr>
          <w:rFonts w:hint="eastAsia" w:asciiTheme="minorHAnsi" w:hAnsiTheme="minorHAnsi" w:eastAsiaTheme="minorEastAsia"/>
          <w:b/>
          <w:bCs/>
          <w:sz w:val="21"/>
        </w:rPr>
        <w:t>图27 基于零信任的数据访问安全与审计链路</w:t>
      </w:r>
    </w:p>
    <w:p w14:paraId="6CB9BAFE">
      <w:pPr>
        <w:numPr>
          <w:ilvl w:val="2"/>
          <w:numId w:val="1"/>
        </w:numPr>
        <w:spacing w:line="360" w:lineRule="auto"/>
        <w:outlineLvl w:val="2"/>
        <w:rPr>
          <w:b/>
          <w:bCs/>
          <w:sz w:val="28"/>
          <w:szCs w:val="28"/>
        </w:rPr>
      </w:pPr>
      <w:bookmarkStart w:id="48" w:name="_Toc221113273"/>
      <w:r>
        <w:rPr>
          <w:b/>
          <w:bCs/>
          <w:sz w:val="28"/>
          <w:szCs w:val="28"/>
        </w:rPr>
        <w:t>主动式系统安全与弹性运行时防护</w:t>
      </w:r>
      <w:bookmarkEnd w:id="48"/>
    </w:p>
    <w:p w14:paraId="2C47816F">
      <w:pPr>
        <w:spacing w:line="360" w:lineRule="auto"/>
        <w:rPr>
          <w:sz w:val="24"/>
        </w:rPr>
      </w:pPr>
    </w:p>
    <w:p w14:paraId="4E3D4D2D">
      <w:pPr>
        <w:spacing w:line="360" w:lineRule="auto"/>
        <w:ind w:firstLine="480" w:firstLineChars="200"/>
        <w:rPr>
          <w:sz w:val="24"/>
        </w:rPr>
      </w:pPr>
      <w:r>
        <w:rPr>
          <w:sz w:val="24"/>
        </w:rPr>
        <w:t>为确保平台在复杂多变的运行环境中保持高度可靠与安全，我们构建了一套与云原生弹性架构深度耦合的主动式安全防护与韧性保障体系。该体系不仅关注传统意义上的安全防御，更强调系统在面临故障、攻击或异常负载时的自我修复、自适应调节与持续免疫能力，从而实现从“被动响应”到“主动防御+弹性自愈”的根本转变。</w:t>
      </w:r>
    </w:p>
    <w:p w14:paraId="20C686A0">
      <w:pPr>
        <w:spacing w:line="360" w:lineRule="auto"/>
        <w:ind w:firstLine="480" w:firstLineChars="200"/>
        <w:rPr>
          <w:sz w:val="24"/>
        </w:rPr>
      </w:pPr>
    </w:p>
    <w:p w14:paraId="7B276257">
      <w:pPr>
        <w:spacing w:line="360" w:lineRule="auto"/>
        <w:ind w:firstLine="480" w:firstLineChars="200"/>
        <w:rPr>
          <w:sz w:val="24"/>
        </w:rPr>
      </w:pPr>
      <w:r>
        <w:rPr>
          <w:sz w:val="24"/>
        </w:rPr>
        <w:t>在动态漏洞管理与全生命周期免疫方面，平台将安全左移并贯穿至软件供应链全过程，在CI/CD流水线中深度集成多层级开源安全扫描工具链。在Docker镜像构建阶段，集成Trivy或Grype对基础镜像及每一层应用依赖进行CVE漏洞扫描，并设定质量门禁，任何高危及以上漏洞将导致构建失败，中低危漏洞需经安全团队评估并记录在案后方可进入下一阶段。通过使用DependencyTrack或FOSSA进行软件成分分析，持续监控项目所有开源及第三方依赖的许可证合规性、已知漏洞及版本健康度，该过程与CI流程联动可自动生成SBOM并实时监控NVD等漏洞库，出现新威胁时自动告警并建议修复版本。在生产及预生产环境中部署Falco或Tracee作为云原生运行时安全守护者，它们基于eBPF技术以内核级精度实时监测容器内的异常行为模式，如非授权进程执行、特权提升尝试、敏感文件访问及异常网络连接等，监测到的异常事件将通过统一告警通道实时推送，并与Kubernetes策略引擎联动实现违规容器的自动隔离或终止。此外，通过集成Renovate Bot或Dependabot实现依赖自动更新与修复，自动监控项目依赖库的安全补丁版本，可配置自动创建合并请求或经人工审核后合并，确保依赖库持续处于安全状态。</w:t>
      </w:r>
    </w:p>
    <w:p w14:paraId="30F4A8FB">
      <w:pPr>
        <w:spacing w:line="360" w:lineRule="auto"/>
        <w:ind w:firstLine="480" w:firstLineChars="200"/>
        <w:rPr>
          <w:sz w:val="24"/>
        </w:rPr>
      </w:pPr>
    </w:p>
    <w:p w14:paraId="350364F3">
      <w:pPr>
        <w:spacing w:line="360" w:lineRule="auto"/>
        <w:ind w:firstLine="480" w:firstLineChars="200"/>
        <w:rPr>
          <w:sz w:val="24"/>
        </w:rPr>
      </w:pPr>
      <w:r>
        <w:rPr>
          <w:sz w:val="24"/>
        </w:rPr>
        <w:t>在API网关层的深度防护与自适应限流方面，Apache APISIX作为统一的API网关被赋予强大的安全与弹性控制能力。通过启用并精细配置ModSecurity规则集如OWASP Core Rule Set，可有效防御SQL注入、XSS、CSRF等常见Web攻击，同时基于平台业务特性定制白名单规则以减少误报。在智能限流与熔断机制上，基于令牌桶或漏桶算法支持按用户、IP、API端点等多个维度进行精细化的请求速率限制，针对“AI问数”等高资源消耗接口配置更严格的阈值；通过集成Resilience4j或类似熔断器模式，当监测到下游服务如大模型推理服务的错误率或响应时间超过阈值时，自动触发熔断实现快速失败并返回降级响应如静态提示信息，从而避免级联故障。在认证与授权强化方面，所有API请求必须携带由Keycloak签发的JWT令牌，APISIX通过插件与Keycloak的UserInfo端点实时校验令牌有效性及权限范围，并对敏感操作如数据删除、模型训练触发等进行二次认证或审批流集成。</w:t>
      </w:r>
    </w:p>
    <w:p w14:paraId="5E4487DB">
      <w:pPr>
        <w:spacing w:line="360" w:lineRule="auto"/>
        <w:ind w:firstLine="480" w:firstLineChars="200"/>
        <w:rPr>
          <w:sz w:val="24"/>
        </w:rPr>
      </w:pPr>
    </w:p>
    <w:p w14:paraId="061CC4A3">
      <w:pPr>
        <w:spacing w:line="360" w:lineRule="auto"/>
        <w:ind w:firstLine="480" w:firstLineChars="200"/>
        <w:rPr>
          <w:sz w:val="24"/>
        </w:rPr>
      </w:pPr>
      <w:r>
        <w:rPr>
          <w:sz w:val="24"/>
        </w:rPr>
        <w:t>在混沌工程驱动的韧性验证与架构优化方面，为主动验证并提升系统在异常条件下的生存能力，我们建立常态化的混沌工程实践。实验场景设计采用Chaos Mesh或Litmus作为混沌实验平台，定义覆盖基础设施、应用及平台层的故障场景，包括模拟节点宕机、网络分区、磁盘IO高延迟等基础设施层故障，随机删除Pod、模拟控制平面组件异常等Kubernetes层故障，以及模拟下游依赖服务高延迟或不可用、数据库连接池耗尽、CPU/内存尖峰等应用层故障。通过将混沌实验与监控体系如Prometheus、Grafana、Jaeger深度集成，在实验执行期间自动采集并关联系统整体可用性、资源利用率与饱和度变化、微服务间调用链的异常传播情况及用户端体验指标等关键数据。基于每次实验后生成的详细《混沌实验报告》，我们系统分析系统在故障下的表现，验证服务副本是否按预期自动重新调度、负载均衡是否生效、故障是否被隔离等自愈能力，检查熔断、限流、缓存降级等机制是否按设计触发并保证核心业务链路的可用性，识别单点故障、级联故障链、恢复时间过长等潜在架构弱点，并最终驱动架构与配置的持续优化，例如调整HPA策略、优化服务依赖关系、增加重试与回退逻辑、完善告警阈值等，形成“实验-观测-优化”的完整闭环。</w:t>
      </w:r>
    </w:p>
    <w:p w14:paraId="18B06028">
      <w:pPr>
        <w:spacing w:line="360" w:lineRule="auto"/>
        <w:ind w:firstLine="480" w:firstLineChars="200"/>
        <w:rPr>
          <w:sz w:val="24"/>
        </w:rPr>
      </w:pPr>
    </w:p>
    <w:p w14:paraId="4165A830">
      <w:pPr>
        <w:spacing w:line="360" w:lineRule="auto"/>
        <w:ind w:firstLine="480" w:firstLineChars="200"/>
        <w:rPr>
          <w:sz w:val="24"/>
        </w:rPr>
      </w:pPr>
      <w:r>
        <w:rPr>
          <w:sz w:val="24"/>
        </w:rPr>
        <w:t>在安全配置即代码与策略自动化方面，所有安全策略与配置均实现代码化管理，确保一致性、可审计性和自动化执行。通过采用OPA或Kyverno将网络安全策略、资源约束如不允许特权容器、合规性要求如所有镜像必须来自受信任仓库定义为声明式策略文件，并集成至Kubernetes准入控制器，任何不符合策略的部署请求将被自动拒绝。在GitOps安全集成层面，ArgoCD等GitOps工具在同步应用部署时会强制执行上述策略检查，确保只有合规的配置才能进入集群，同时所有安全策略的变更都通过Git提交和代码评审流程进行管理，留下完整的审计轨迹。</w:t>
      </w:r>
    </w:p>
    <w:p w14:paraId="73F2021D">
      <w:pPr>
        <w:spacing w:line="360" w:lineRule="auto"/>
        <w:ind w:firstLine="480" w:firstLineChars="200"/>
        <w:rPr>
          <w:sz w:val="24"/>
        </w:rPr>
      </w:pPr>
    </w:p>
    <w:p w14:paraId="26481A15">
      <w:pPr>
        <w:spacing w:line="360" w:lineRule="auto"/>
        <w:ind w:firstLine="480" w:firstLineChars="200"/>
        <w:rPr>
          <w:sz w:val="24"/>
        </w:rPr>
      </w:pPr>
      <w:r>
        <w:rPr>
          <w:sz w:val="24"/>
        </w:rPr>
        <w:t>通过上述多层叠放、主动介入的技术措施，本平台的安全与运行时防护体系实现了从静态防护到动态免疫、从人工响应到自动修复的演进，为上层教育智能应用提供了坚实、弹性、可信的运行时基座。</w:t>
      </w:r>
    </w:p>
    <w:p w14:paraId="371D61BC">
      <w:pPr>
        <w:spacing w:line="360" w:lineRule="auto"/>
        <w:rPr>
          <w:sz w:val="24"/>
        </w:rPr>
      </w:pPr>
    </w:p>
    <w:p w14:paraId="7D3B356C">
      <w:pPr>
        <w:numPr>
          <w:ilvl w:val="2"/>
          <w:numId w:val="1"/>
        </w:numPr>
        <w:spacing w:line="360" w:lineRule="auto"/>
        <w:outlineLvl w:val="2"/>
        <w:rPr>
          <w:b/>
          <w:bCs/>
          <w:sz w:val="28"/>
          <w:szCs w:val="28"/>
        </w:rPr>
      </w:pPr>
      <w:bookmarkStart w:id="49" w:name="_Toc221113274"/>
      <w:r>
        <w:rPr>
          <w:b/>
          <w:bCs/>
          <w:sz w:val="28"/>
          <w:szCs w:val="28"/>
        </w:rPr>
        <w:t>基于CNCF可观测性栈的智能运维</w:t>
      </w:r>
      <w:bookmarkEnd w:id="49"/>
    </w:p>
    <w:p w14:paraId="637D5F0D">
      <w:pPr>
        <w:spacing w:line="360" w:lineRule="auto"/>
        <w:rPr>
          <w:sz w:val="24"/>
        </w:rPr>
      </w:pPr>
    </w:p>
    <w:p w14:paraId="5BB46870">
      <w:pPr>
        <w:spacing w:line="360" w:lineRule="auto"/>
        <w:ind w:firstLine="480" w:firstLineChars="200"/>
        <w:rPr>
          <w:sz w:val="24"/>
        </w:rPr>
      </w:pPr>
      <w:r>
        <w:rPr>
          <w:rFonts w:hint="eastAsia"/>
          <w:sz w:val="24"/>
        </w:rPr>
        <w:t>运维监控体系完全构建于CNCF可观测性技术栈之上，并针对AI平台特性进行深度定制，实现从基础设施状态到AI业务逻辑的“全链路可观测”。平台定义并采集四个维度的监控指标：通过标准采集器收集集群节点、Pod的资源使用率等基础设施指标；通过微服务端点暴露应用层面的QPS、响应延迟、错误率等服务性能指标；通过自定义的埋点收集大模型推理延迟、知识库检索召回率、AI工作流节点执行状态等AI专项指标；以及关键业务功能的健康状态指标。所有指标由统一采集器采集，并利用查询语言进行多维度聚合与分析。</w:t>
      </w:r>
    </w:p>
    <w:p w14:paraId="33176E0D">
      <w:pPr>
        <w:spacing w:line="360" w:lineRule="auto"/>
        <w:ind w:firstLine="480" w:firstLineChars="200"/>
        <w:rPr>
          <w:sz w:val="24"/>
        </w:rPr>
      </w:pPr>
    </w:p>
    <w:p w14:paraId="24E5A8A3">
      <w:pPr>
        <w:spacing w:line="360" w:lineRule="auto"/>
        <w:ind w:firstLine="480" w:firstLineChars="200"/>
        <w:rPr>
          <w:sz w:val="24"/>
        </w:rPr>
      </w:pPr>
      <w:r>
        <w:rPr>
          <w:rFonts w:hint="eastAsia"/>
          <w:sz w:val="24"/>
        </w:rPr>
        <w:t>在统一的日志与链路追踪方面，应用日志通过收集器统一写入存储，支持基于标签的高效检索，与指标和链路数据进行关联分析。所有服务均集成追踪SDK，自动生成跟踪数据，对于一次AI问答请求可以完整追踪从API网关到模型调用的全链路，精准定位性能瓶颈。</w:t>
      </w:r>
    </w:p>
    <w:p w14:paraId="19834CBC">
      <w:pPr>
        <w:spacing w:line="360" w:lineRule="auto"/>
        <w:ind w:firstLine="480" w:firstLineChars="200"/>
        <w:rPr>
          <w:sz w:val="24"/>
        </w:rPr>
      </w:pPr>
      <w:r>
        <w:rPr>
          <w:rFonts w:hint="eastAsia"/>
          <w:sz w:val="24"/>
        </w:rPr>
        <w:t>智能预警与自动化响应体系在预警规则中配置多级预警，规则不仅基于阈值还可基于趋势或关联性。集成机器学习功能对历史监控数据进行学习，实现对指标异常波动的智能检测，提前发现潜在问题。常见故障响应实现自动化，例如当检测到某服务实例连续失败时，可通过告警系统的Webhook触发自动重启；当工作流引擎大量任务积压时，自动触发水平扩展。复杂运维剧本可通过集成自动化工具进行编排。</w:t>
      </w:r>
    </w:p>
    <w:p w14:paraId="5D2381C4">
      <w:pPr>
        <w:spacing w:line="360" w:lineRule="auto"/>
        <w:ind w:firstLine="480" w:firstLineChars="200"/>
        <w:rPr>
          <w:sz w:val="24"/>
        </w:rPr>
      </w:pPr>
    </w:p>
    <w:p w14:paraId="36362242">
      <w:pPr>
        <w:spacing w:line="360" w:lineRule="auto"/>
        <w:ind w:firstLine="480" w:firstLineChars="200"/>
        <w:rPr>
          <w:sz w:val="24"/>
        </w:rPr>
      </w:pPr>
      <w:r>
        <w:rPr>
          <w:rFonts w:hint="eastAsia"/>
          <w:sz w:val="24"/>
        </w:rPr>
        <w:t>下表8展示了针对AI平台关键场景的监控与自动化响应策略。</w:t>
      </w:r>
    </w:p>
    <w:p w14:paraId="55CD0096">
      <w:pPr>
        <w:pStyle w:val="2"/>
        <w:spacing w:line="360" w:lineRule="auto"/>
        <w:ind w:firstLine="422" w:firstLineChars="200"/>
        <w:jc w:val="center"/>
        <w:rPr>
          <w:sz w:val="24"/>
        </w:rPr>
      </w:pPr>
      <w:r>
        <w:rPr>
          <w:rFonts w:hint="eastAsia" w:asciiTheme="minorHAnsi" w:hAnsiTheme="minorHAnsi" w:eastAsiaTheme="minorEastAsia"/>
          <w:b/>
          <w:bCs/>
          <w:sz w:val="21"/>
        </w:rPr>
        <w:t>表8 AI平台关键场景监控与自动化响应策略表</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4"/>
        <w:gridCol w:w="1704"/>
        <w:gridCol w:w="1704"/>
        <w:gridCol w:w="1705"/>
        <w:gridCol w:w="1705"/>
      </w:tblGrid>
      <w:tr w14:paraId="6D354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349C66B1">
            <w:pPr>
              <w:spacing w:line="360" w:lineRule="auto"/>
              <w:jc w:val="center"/>
              <w:rPr>
                <w:b/>
                <w:bCs/>
                <w:sz w:val="24"/>
              </w:rPr>
            </w:pPr>
            <w:r>
              <w:rPr>
                <w:rFonts w:hint="eastAsia"/>
                <w:b/>
                <w:bCs/>
                <w:sz w:val="24"/>
              </w:rPr>
              <w:t>监控场景</w:t>
            </w:r>
          </w:p>
        </w:tc>
        <w:tc>
          <w:tcPr>
            <w:tcW w:w="1704" w:type="dxa"/>
          </w:tcPr>
          <w:p w14:paraId="6F1C52DD">
            <w:pPr>
              <w:spacing w:line="360" w:lineRule="auto"/>
              <w:jc w:val="center"/>
              <w:rPr>
                <w:b/>
                <w:bCs/>
                <w:sz w:val="24"/>
              </w:rPr>
            </w:pPr>
            <w:r>
              <w:rPr>
                <w:rFonts w:hint="eastAsia"/>
                <w:b/>
                <w:bCs/>
                <w:sz w:val="24"/>
              </w:rPr>
              <w:t>核心指标</w:t>
            </w:r>
          </w:p>
        </w:tc>
        <w:tc>
          <w:tcPr>
            <w:tcW w:w="1704" w:type="dxa"/>
          </w:tcPr>
          <w:p w14:paraId="2CA3DBD3">
            <w:pPr>
              <w:spacing w:line="360" w:lineRule="auto"/>
              <w:jc w:val="center"/>
              <w:rPr>
                <w:b/>
                <w:bCs/>
                <w:sz w:val="24"/>
              </w:rPr>
            </w:pPr>
            <w:r>
              <w:rPr>
                <w:rFonts w:hint="eastAsia"/>
                <w:b/>
                <w:bCs/>
                <w:sz w:val="24"/>
              </w:rPr>
              <w:t>数据源</w:t>
            </w:r>
          </w:p>
        </w:tc>
        <w:tc>
          <w:tcPr>
            <w:tcW w:w="1705" w:type="dxa"/>
          </w:tcPr>
          <w:p w14:paraId="25350B17">
            <w:pPr>
              <w:spacing w:line="360" w:lineRule="auto"/>
              <w:jc w:val="center"/>
              <w:rPr>
                <w:b/>
                <w:bCs/>
                <w:sz w:val="24"/>
              </w:rPr>
            </w:pPr>
            <w:r>
              <w:rPr>
                <w:rFonts w:hint="eastAsia"/>
                <w:b/>
                <w:bCs/>
                <w:sz w:val="24"/>
              </w:rPr>
              <w:t>预警阈值</w:t>
            </w:r>
          </w:p>
        </w:tc>
        <w:tc>
          <w:tcPr>
            <w:tcW w:w="1705" w:type="dxa"/>
          </w:tcPr>
          <w:p w14:paraId="7EF7383C">
            <w:pPr>
              <w:spacing w:line="360" w:lineRule="auto"/>
              <w:jc w:val="center"/>
              <w:rPr>
                <w:b/>
                <w:bCs/>
                <w:sz w:val="24"/>
              </w:rPr>
            </w:pPr>
            <w:r>
              <w:rPr>
                <w:rFonts w:hint="eastAsia"/>
                <w:b/>
                <w:bCs/>
                <w:sz w:val="24"/>
              </w:rPr>
              <w:t>自动化响应动作</w:t>
            </w:r>
          </w:p>
        </w:tc>
      </w:tr>
      <w:tr w14:paraId="51112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3139DADF">
            <w:pPr>
              <w:spacing w:line="360" w:lineRule="auto"/>
              <w:jc w:val="center"/>
              <w:rPr>
                <w:b/>
                <w:bCs/>
                <w:sz w:val="24"/>
              </w:rPr>
            </w:pPr>
            <w:r>
              <w:rPr>
                <w:rFonts w:hint="eastAsia"/>
                <w:b/>
                <w:bCs/>
                <w:sz w:val="24"/>
              </w:rPr>
              <w:t>大模型服务异常</w:t>
            </w:r>
          </w:p>
        </w:tc>
        <w:tc>
          <w:tcPr>
            <w:tcW w:w="1704" w:type="dxa"/>
          </w:tcPr>
          <w:p w14:paraId="138E603A">
            <w:pPr>
              <w:spacing w:line="360" w:lineRule="auto"/>
              <w:jc w:val="center"/>
              <w:rPr>
                <w:sz w:val="24"/>
              </w:rPr>
            </w:pPr>
            <w:r>
              <w:rPr>
                <w:rFonts w:hint="eastAsia"/>
                <w:sz w:val="24"/>
              </w:rPr>
              <w:t>请求延迟(P99)、错误率、GPU显存使用率</w:t>
            </w:r>
          </w:p>
        </w:tc>
        <w:tc>
          <w:tcPr>
            <w:tcW w:w="1704" w:type="dxa"/>
          </w:tcPr>
          <w:p w14:paraId="580E41EC">
            <w:pPr>
              <w:spacing w:line="360" w:lineRule="auto"/>
              <w:jc w:val="center"/>
              <w:rPr>
                <w:sz w:val="24"/>
              </w:rPr>
            </w:pPr>
            <w:r>
              <w:rPr>
                <w:rFonts w:hint="eastAsia"/>
                <w:sz w:val="24"/>
              </w:rPr>
              <w:t>推理服务导出器、监控系统</w:t>
            </w:r>
          </w:p>
        </w:tc>
        <w:tc>
          <w:tcPr>
            <w:tcW w:w="1705" w:type="dxa"/>
          </w:tcPr>
          <w:p w14:paraId="3603E50F">
            <w:pPr>
              <w:spacing w:line="360" w:lineRule="auto"/>
              <w:jc w:val="center"/>
              <w:rPr>
                <w:sz w:val="24"/>
              </w:rPr>
            </w:pPr>
            <w:r>
              <w:rPr>
                <w:rFonts w:hint="eastAsia"/>
                <w:sz w:val="24"/>
              </w:rPr>
              <w:t>P99延迟 &gt; 5s 或错误率 &gt; 1% 持续2分钟</w:t>
            </w:r>
          </w:p>
        </w:tc>
        <w:tc>
          <w:tcPr>
            <w:tcW w:w="1705" w:type="dxa"/>
          </w:tcPr>
          <w:p w14:paraId="4E77409F">
            <w:pPr>
              <w:spacing w:line="360" w:lineRule="auto"/>
              <w:jc w:val="center"/>
              <w:rPr>
                <w:sz w:val="24"/>
              </w:rPr>
            </w:pPr>
            <w:r>
              <w:rPr>
                <w:rFonts w:hint="eastAsia"/>
                <w:sz w:val="24"/>
              </w:rPr>
              <w:t>1. 告警通知运维人员</w:t>
            </w:r>
          </w:p>
          <w:p w14:paraId="4FF6FB3D">
            <w:pPr>
              <w:spacing w:line="360" w:lineRule="auto"/>
              <w:jc w:val="center"/>
              <w:rPr>
                <w:sz w:val="24"/>
              </w:rPr>
            </w:pPr>
            <w:r>
              <w:rPr>
                <w:rFonts w:hint="eastAsia"/>
                <w:sz w:val="24"/>
              </w:rPr>
              <w:t>2. 自动将部分流量切换到备用模型端点</w:t>
            </w:r>
          </w:p>
        </w:tc>
      </w:tr>
      <w:tr w14:paraId="23658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1A1514E4">
            <w:pPr>
              <w:spacing w:line="360" w:lineRule="auto"/>
              <w:jc w:val="center"/>
              <w:rPr>
                <w:b/>
                <w:bCs/>
                <w:sz w:val="24"/>
              </w:rPr>
            </w:pPr>
            <w:r>
              <w:rPr>
                <w:rFonts w:hint="eastAsia"/>
                <w:b/>
                <w:bCs/>
                <w:sz w:val="24"/>
              </w:rPr>
              <w:t>知识库检索性能下降</w:t>
            </w:r>
          </w:p>
        </w:tc>
        <w:tc>
          <w:tcPr>
            <w:tcW w:w="1704" w:type="dxa"/>
          </w:tcPr>
          <w:p w14:paraId="35CF3483">
            <w:pPr>
              <w:spacing w:line="360" w:lineRule="auto"/>
              <w:jc w:val="center"/>
              <w:rPr>
                <w:sz w:val="24"/>
              </w:rPr>
            </w:pPr>
            <w:r>
              <w:rPr>
                <w:rFonts w:hint="eastAsia"/>
                <w:sz w:val="24"/>
              </w:rPr>
              <w:t>检索平均响应时间、向量索引内存占用</w:t>
            </w:r>
          </w:p>
        </w:tc>
        <w:tc>
          <w:tcPr>
            <w:tcW w:w="1704" w:type="dxa"/>
          </w:tcPr>
          <w:p w14:paraId="691E5C94">
            <w:pPr>
              <w:spacing w:line="360" w:lineRule="auto"/>
              <w:jc w:val="center"/>
              <w:rPr>
                <w:sz w:val="24"/>
              </w:rPr>
            </w:pPr>
            <w:r>
              <w:rPr>
                <w:rFonts w:hint="eastAsia"/>
                <w:sz w:val="24"/>
              </w:rPr>
              <w:t>自定义埋点、向量数据库导出器</w:t>
            </w:r>
          </w:p>
        </w:tc>
        <w:tc>
          <w:tcPr>
            <w:tcW w:w="1705" w:type="dxa"/>
          </w:tcPr>
          <w:p w14:paraId="4CD2958C">
            <w:pPr>
              <w:spacing w:line="360" w:lineRule="auto"/>
              <w:jc w:val="center"/>
              <w:rPr>
                <w:sz w:val="24"/>
              </w:rPr>
            </w:pPr>
            <w:r>
              <w:rPr>
                <w:rFonts w:hint="eastAsia"/>
                <w:sz w:val="24"/>
              </w:rPr>
              <w:t>平均响应时间 &gt; 500ms 持续5分钟</w:t>
            </w:r>
          </w:p>
        </w:tc>
        <w:tc>
          <w:tcPr>
            <w:tcW w:w="1705" w:type="dxa"/>
          </w:tcPr>
          <w:p w14:paraId="45BFF865">
            <w:pPr>
              <w:spacing w:line="360" w:lineRule="auto"/>
              <w:jc w:val="center"/>
              <w:rPr>
                <w:sz w:val="24"/>
              </w:rPr>
            </w:pPr>
            <w:r>
              <w:rPr>
                <w:rFonts w:hint="eastAsia"/>
                <w:sz w:val="24"/>
              </w:rPr>
              <w:t>1. 告警通知</w:t>
            </w:r>
          </w:p>
          <w:p w14:paraId="70A9210A">
            <w:pPr>
              <w:spacing w:line="360" w:lineRule="auto"/>
              <w:jc w:val="center"/>
              <w:rPr>
                <w:sz w:val="24"/>
              </w:rPr>
            </w:pPr>
            <w:r>
              <w:rPr>
                <w:rFonts w:hint="eastAsia"/>
                <w:sz w:val="24"/>
              </w:rPr>
              <w:t>2. 自动触发向量索引优化任务</w:t>
            </w:r>
          </w:p>
        </w:tc>
      </w:tr>
      <w:tr w14:paraId="4936E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08252779">
            <w:pPr>
              <w:spacing w:line="360" w:lineRule="auto"/>
              <w:jc w:val="center"/>
              <w:rPr>
                <w:b/>
                <w:bCs/>
                <w:sz w:val="24"/>
              </w:rPr>
            </w:pPr>
            <w:r>
              <w:rPr>
                <w:rFonts w:hint="eastAsia"/>
                <w:b/>
                <w:bCs/>
                <w:sz w:val="24"/>
              </w:rPr>
              <w:t>数据流水线故障</w:t>
            </w:r>
          </w:p>
        </w:tc>
        <w:tc>
          <w:tcPr>
            <w:tcW w:w="1704" w:type="dxa"/>
          </w:tcPr>
          <w:p w14:paraId="146813FE">
            <w:pPr>
              <w:spacing w:line="360" w:lineRule="auto"/>
              <w:jc w:val="center"/>
              <w:rPr>
                <w:sz w:val="24"/>
              </w:rPr>
            </w:pPr>
            <w:r>
              <w:rPr>
                <w:rFonts w:hint="eastAsia"/>
                <w:sz w:val="24"/>
              </w:rPr>
              <w:t>任务失败率、数据记录处理延迟</w:t>
            </w:r>
          </w:p>
        </w:tc>
        <w:tc>
          <w:tcPr>
            <w:tcW w:w="1704" w:type="dxa"/>
          </w:tcPr>
          <w:p w14:paraId="77D3B23D">
            <w:pPr>
              <w:spacing w:line="360" w:lineRule="auto"/>
              <w:jc w:val="center"/>
              <w:rPr>
                <w:sz w:val="24"/>
              </w:rPr>
            </w:pPr>
            <w:r>
              <w:rPr>
                <w:rFonts w:hint="eastAsia"/>
                <w:sz w:val="24"/>
              </w:rPr>
              <w:t>工作流引擎指标、流处理指标</w:t>
            </w:r>
          </w:p>
        </w:tc>
        <w:tc>
          <w:tcPr>
            <w:tcW w:w="1705" w:type="dxa"/>
          </w:tcPr>
          <w:p w14:paraId="0F69CC7E">
            <w:pPr>
              <w:spacing w:line="360" w:lineRule="auto"/>
              <w:jc w:val="center"/>
              <w:rPr>
                <w:sz w:val="24"/>
              </w:rPr>
            </w:pPr>
            <w:r>
              <w:rPr>
                <w:rFonts w:hint="eastAsia"/>
                <w:sz w:val="24"/>
              </w:rPr>
              <w:t>关键任务失败或延迟超过计划时间1小时</w:t>
            </w:r>
          </w:p>
        </w:tc>
        <w:tc>
          <w:tcPr>
            <w:tcW w:w="1705" w:type="dxa"/>
          </w:tcPr>
          <w:p w14:paraId="68D6BAD6">
            <w:pPr>
              <w:spacing w:line="360" w:lineRule="auto"/>
              <w:jc w:val="center"/>
              <w:rPr>
                <w:sz w:val="24"/>
              </w:rPr>
            </w:pPr>
            <w:r>
              <w:rPr>
                <w:rFonts w:hint="eastAsia"/>
                <w:sz w:val="24"/>
              </w:rPr>
              <w:t>1. 告警通知数据管理员</w:t>
            </w:r>
          </w:p>
          <w:p w14:paraId="10CAA55F">
            <w:pPr>
              <w:spacing w:line="360" w:lineRule="auto"/>
              <w:jc w:val="center"/>
              <w:rPr>
                <w:sz w:val="24"/>
              </w:rPr>
            </w:pPr>
            <w:r>
              <w:rPr>
                <w:rFonts w:hint="eastAsia"/>
                <w:sz w:val="24"/>
              </w:rPr>
              <w:t>2. 自动重试失败任务（最多3次）</w:t>
            </w:r>
          </w:p>
        </w:tc>
      </w:tr>
      <w:tr w14:paraId="174C7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5AC0CBCE">
            <w:pPr>
              <w:spacing w:line="360" w:lineRule="auto"/>
              <w:jc w:val="center"/>
              <w:rPr>
                <w:b/>
                <w:bCs/>
                <w:sz w:val="24"/>
              </w:rPr>
            </w:pPr>
            <w:r>
              <w:rPr>
                <w:rFonts w:hint="eastAsia"/>
                <w:b/>
                <w:bCs/>
                <w:sz w:val="24"/>
              </w:rPr>
              <w:t>工作流引擎拥堵</w:t>
            </w:r>
          </w:p>
        </w:tc>
        <w:tc>
          <w:tcPr>
            <w:tcW w:w="1704" w:type="dxa"/>
          </w:tcPr>
          <w:p w14:paraId="3157732E">
            <w:pPr>
              <w:spacing w:line="360" w:lineRule="auto"/>
              <w:jc w:val="center"/>
              <w:rPr>
                <w:sz w:val="24"/>
              </w:rPr>
            </w:pPr>
            <w:r>
              <w:rPr>
                <w:rFonts w:hint="eastAsia"/>
                <w:sz w:val="24"/>
              </w:rPr>
              <w:t>排队任务数、节点执行平均耗时</w:t>
            </w:r>
          </w:p>
        </w:tc>
        <w:tc>
          <w:tcPr>
            <w:tcW w:w="1704" w:type="dxa"/>
          </w:tcPr>
          <w:p w14:paraId="02EA8148">
            <w:pPr>
              <w:spacing w:line="360" w:lineRule="auto"/>
              <w:jc w:val="center"/>
              <w:rPr>
                <w:sz w:val="24"/>
              </w:rPr>
            </w:pPr>
            <w:r>
              <w:rPr>
                <w:rFonts w:hint="eastAsia"/>
                <w:sz w:val="24"/>
              </w:rPr>
              <w:t>工作流管理API、监控系统</w:t>
            </w:r>
          </w:p>
        </w:tc>
        <w:tc>
          <w:tcPr>
            <w:tcW w:w="1705" w:type="dxa"/>
          </w:tcPr>
          <w:p w14:paraId="796E6B43">
            <w:pPr>
              <w:spacing w:line="360" w:lineRule="auto"/>
              <w:jc w:val="center"/>
              <w:rPr>
                <w:sz w:val="24"/>
              </w:rPr>
            </w:pPr>
            <w:r>
              <w:rPr>
                <w:rFonts w:hint="eastAsia"/>
                <w:sz w:val="24"/>
              </w:rPr>
              <w:t>排队任务数 &gt; 100</w:t>
            </w:r>
          </w:p>
        </w:tc>
        <w:tc>
          <w:tcPr>
            <w:tcW w:w="1705" w:type="dxa"/>
          </w:tcPr>
          <w:p w14:paraId="1C15EDD1">
            <w:pPr>
              <w:spacing w:line="360" w:lineRule="auto"/>
              <w:jc w:val="center"/>
              <w:rPr>
                <w:sz w:val="24"/>
              </w:rPr>
            </w:pPr>
            <w:r>
              <w:rPr>
                <w:rFonts w:hint="eastAsia"/>
                <w:sz w:val="24"/>
              </w:rPr>
              <w:t>1. 告警通知</w:t>
            </w:r>
          </w:p>
          <w:p w14:paraId="10513AE1">
            <w:pPr>
              <w:spacing w:line="360" w:lineRule="auto"/>
              <w:jc w:val="center"/>
              <w:rPr>
                <w:sz w:val="24"/>
              </w:rPr>
            </w:pPr>
            <w:r>
              <w:rPr>
                <w:rFonts w:hint="eastAsia"/>
                <w:sz w:val="24"/>
              </w:rPr>
              <w:t>2. 自动扩容工作流执行器实例</w:t>
            </w:r>
          </w:p>
        </w:tc>
      </w:tr>
    </w:tbl>
    <w:p w14:paraId="6B55A532">
      <w:pPr>
        <w:numPr>
          <w:ilvl w:val="2"/>
          <w:numId w:val="1"/>
        </w:numPr>
        <w:spacing w:line="360" w:lineRule="auto"/>
        <w:outlineLvl w:val="2"/>
        <w:rPr>
          <w:b/>
          <w:bCs/>
          <w:sz w:val="28"/>
          <w:szCs w:val="28"/>
        </w:rPr>
      </w:pPr>
      <w:bookmarkStart w:id="50" w:name="_Toc221113275"/>
      <w:r>
        <w:rPr>
          <w:b/>
          <w:bCs/>
          <w:sz w:val="28"/>
          <w:szCs w:val="28"/>
        </w:rPr>
        <w:t>持续性安全运维与合规审计</w:t>
      </w:r>
      <w:bookmarkEnd w:id="50"/>
    </w:p>
    <w:p w14:paraId="4FAF58AA">
      <w:pPr>
        <w:spacing w:line="360" w:lineRule="auto"/>
      </w:pPr>
    </w:p>
    <w:p w14:paraId="14E94202">
      <w:pPr>
        <w:spacing w:line="360" w:lineRule="auto"/>
        <w:ind w:firstLine="480" w:firstLineChars="200"/>
        <w:rPr>
          <w:sz w:val="24"/>
        </w:rPr>
      </w:pPr>
      <w:r>
        <w:rPr>
          <w:sz w:val="24"/>
        </w:rPr>
        <w:t>安全与运维并非一次性任务，而是一个需要持续投入、动态调整与验证的循环过程。为确保平台安全机制的长效性与合规要求的持续满足，我们建立了一套体系化的持续性安全运维与合规审计框架。</w:t>
      </w:r>
    </w:p>
    <w:p w14:paraId="53960ECF">
      <w:pPr>
        <w:spacing w:line="360" w:lineRule="auto"/>
        <w:ind w:firstLine="480" w:firstLineChars="200"/>
        <w:rPr>
          <w:sz w:val="24"/>
        </w:rPr>
      </w:pPr>
    </w:p>
    <w:p w14:paraId="3EC2EB00">
      <w:pPr>
        <w:spacing w:line="360" w:lineRule="auto"/>
        <w:ind w:firstLine="480" w:firstLineChars="200"/>
        <w:rPr>
          <w:sz w:val="24"/>
        </w:rPr>
      </w:pPr>
      <w:r>
        <w:rPr>
          <w:sz w:val="24"/>
        </w:rPr>
        <w:t>我们贯彻“安全配置即代码”的核心理念，将所有的安全策略——包括网络策略（Network Policies）、服务网格策略（Linkerd AuthorizationPolicies）、身份与访问管理（IAM）策略、密钥与证书配置等——均以结构化的YAML或JSON格式进行定义，并存储于Git版本控制系统中。通过严格的GitOps工作流，任何安全策略的变更都需经过代码提交、同行评审、自动验证（如策略语法检查、冲突检测）等环节，方可由ArgoCD等GitOps工具自动同步至生产集群。这一实践不仅确保了从开发、测试到生产环境的安全策略一致性，杜绝了人工配置的漂移与错误，更实现了每一次安全变更的完整审计追溯，明确记录变更内容、责任人、时间及审批链路，为安全事件调查与合规审计提供了不可篡改的原始记录。</w:t>
      </w:r>
    </w:p>
    <w:p w14:paraId="56BE23A2">
      <w:pPr>
        <w:spacing w:line="360" w:lineRule="auto"/>
        <w:ind w:firstLine="480" w:firstLineChars="200"/>
        <w:rPr>
          <w:sz w:val="24"/>
        </w:rPr>
      </w:pPr>
    </w:p>
    <w:p w14:paraId="5769E660">
      <w:pPr>
        <w:spacing w:line="360" w:lineRule="auto"/>
        <w:ind w:firstLine="480" w:firstLineChars="200"/>
        <w:rPr>
          <w:sz w:val="24"/>
        </w:rPr>
      </w:pPr>
      <w:r>
        <w:rPr>
          <w:sz w:val="24"/>
        </w:rPr>
        <w:t>在常态化安全扫描与合规性验证方面，平台将开源安全工具深度集成至CI/CD流水线与运行时环境。在CI阶段，集成Trivy、Grype等工具对每一次构建的Docker镜像进行漏洞扫描，严格阻断包含高危漏洞的镜像流入下一环节；同时利用Syft生成软件物料清单（SBOM），清晰掌握所有组件的来源与依赖关系。在CD部署后，定期运行kube-bench、kube-hunter等工具，对Kubernetes集群的配置进行自动化检查，确保其符合CIS Kubernetes Benchmark等安全基线。针对国家网络安全等级保护2.0（三级）及教育行业相关规范，我们构建了基于OpenSCAP或定制化检查脚本的合规性评估模块，定期对操作系统、中间件及平台应用层配置进行自动化核查，并生成结构化的合规差距分析报告，明确不符合项、风险等级及修复建议，使合规状态可视化、可度量、可管理。</w:t>
      </w:r>
    </w:p>
    <w:p w14:paraId="14B7D9A1">
      <w:pPr>
        <w:spacing w:line="360" w:lineRule="auto"/>
        <w:ind w:firstLine="480" w:firstLineChars="200"/>
        <w:rPr>
          <w:sz w:val="24"/>
        </w:rPr>
      </w:pPr>
    </w:p>
    <w:p w14:paraId="6C24A66A">
      <w:pPr>
        <w:spacing w:line="360" w:lineRule="auto"/>
        <w:ind w:firstLine="480" w:firstLineChars="200"/>
        <w:rPr>
          <w:sz w:val="24"/>
        </w:rPr>
      </w:pPr>
      <w:r>
        <w:rPr>
          <w:sz w:val="24"/>
        </w:rPr>
        <w:t>为主动发现未知风险与验证整体防御体系的有效性，我们建立了前瞻性的攻防演练机制。在每个重大版本上线前或至少每半年一次，我们将聘请授权的第三方安全团队或组织内部红队，在可控环境下对平台进行深度的渗透测试，模拟真实攻击者的战术、技术与流程，检验从外部入口到内部微服务、从应用层到数据层的整体安全防护强度。同时，定期开展内部蓝红对抗演练，模拟数据泄露、勒索软件、内部威胁等特定场景，全面考验监测预警、应急响应、灾难恢复等流程的有效性与团队协同能力。所有在演练中发现的安全漏洞与流程缺陷均会录入缺陷跟踪系统，并遵循严格的闭环管理流程，从漏洞确认、根因分析、修复方案制定、修复验证到回归测试，确保每一项风险都被彻底消除，并将典型案例纳入安全知识库，用于持续提升团队的安全意识与防御技能。</w:t>
      </w:r>
    </w:p>
    <w:p w14:paraId="551121CC">
      <w:pPr>
        <w:spacing w:line="360" w:lineRule="auto"/>
        <w:ind w:firstLine="480" w:firstLineChars="200"/>
        <w:rPr>
          <w:sz w:val="24"/>
        </w:rPr>
      </w:pPr>
    </w:p>
    <w:p w14:paraId="0D4A8187">
      <w:pPr>
        <w:spacing w:line="360" w:lineRule="auto"/>
        <w:ind w:firstLine="480" w:firstLineChars="200"/>
        <w:rPr>
          <w:sz w:val="24"/>
        </w:rPr>
      </w:pPr>
      <w:r>
        <w:rPr>
          <w:sz w:val="24"/>
        </w:rPr>
        <w:t>综上所述，本平台的安全与运维保障设计并非独立或附加的组件，而是深度融入其云原生、微服务与开源技术基因的核心能力。它通过零信任架构筑牢身份与访问的安全底线，通过主动防御与智能监控提升系统的整体韧性，并通过本节所述的持续性安全运维与自动化合规审计机制，确保安全能力能够伴随平台的演进而持续迭代与生效。这些措施共同构成一个动态、纵深、自适应的安全运营体系，为常州工程职业技术学院的AI数智平台提供稳定、可靠、可信的运行保障，有力支撑学校教育数字化转型战略的平稳实施与长远发展。</w:t>
      </w:r>
    </w:p>
    <w:p w14:paraId="7E57D987">
      <w:pPr>
        <w:spacing w:line="360" w:lineRule="auto"/>
        <w:ind w:firstLine="480" w:firstLineChars="200"/>
        <w:rPr>
          <w:sz w:val="24"/>
        </w:rPr>
      </w:pPr>
    </w:p>
    <w:p w14:paraId="0B4106CF">
      <w:pPr>
        <w:numPr>
          <w:ilvl w:val="1"/>
          <w:numId w:val="1"/>
        </w:numPr>
        <w:spacing w:line="360" w:lineRule="auto"/>
        <w:outlineLvl w:val="1"/>
        <w:rPr>
          <w:b/>
          <w:bCs/>
          <w:sz w:val="30"/>
          <w:szCs w:val="30"/>
        </w:rPr>
      </w:pPr>
      <w:bookmarkStart w:id="51" w:name="_Toc221113276"/>
      <w:r>
        <w:rPr>
          <w:b/>
          <w:bCs/>
          <w:sz w:val="30"/>
          <w:szCs w:val="30"/>
        </w:rPr>
        <w:t>标准化与合规性设计</w:t>
      </w:r>
      <w:bookmarkEnd w:id="51"/>
    </w:p>
    <w:p w14:paraId="58AEE2ED">
      <w:pPr>
        <w:spacing w:line="360" w:lineRule="auto"/>
        <w:rPr>
          <w:sz w:val="24"/>
        </w:rPr>
      </w:pPr>
    </w:p>
    <w:p w14:paraId="484492FC">
      <w:pPr>
        <w:spacing w:line="360" w:lineRule="auto"/>
        <w:ind w:firstLine="480" w:firstLineChars="200"/>
        <w:rPr>
          <w:sz w:val="24"/>
        </w:rPr>
      </w:pPr>
      <w:r>
        <w:rPr>
          <w:sz w:val="24"/>
        </w:rPr>
        <w:t>本平台的标准化与合规性设计并非独立环节，而是贯穿于技术架构、数据流转与应用开发全过程的治理体系。</w:t>
      </w:r>
      <w:r>
        <w:rPr>
          <w:rFonts w:hint="eastAsia"/>
          <w:sz w:val="24"/>
        </w:rPr>
        <w:t>如图28所示，</w:t>
      </w:r>
      <w:r>
        <w:rPr>
          <w:sz w:val="24"/>
        </w:rPr>
        <w:t>它以前述开源优先、全链路可观测的设计原则为基石，将国家、行业标准与开源生态的最佳实践深度融合，确保平台在快速迭代中始终保持规范的约束力与技术的开放性。其核心是通过标准化的接口、数据模型与协议，在开放的架构内构建合规的自动化护栏，从而实现“在规范中创新，在创新中合规”的动态平衡。</w:t>
      </w:r>
    </w:p>
    <w:p w14:paraId="09C7B52D">
      <w:pPr>
        <w:spacing w:line="360" w:lineRule="auto"/>
        <w:jc w:val="center"/>
        <w:rPr>
          <w:b/>
          <w:bCs/>
        </w:rPr>
      </w:pPr>
      <w:r>
        <w:rPr>
          <w:b/>
          <w:bCs/>
        </w:rPr>
        <w:drawing>
          <wp:anchor distT="0" distB="0" distL="114300" distR="114300" simplePos="0" relativeHeight="251675648" behindDoc="0" locked="0" layoutInCell="1" allowOverlap="1">
            <wp:simplePos x="0" y="0"/>
            <wp:positionH relativeFrom="column">
              <wp:posOffset>-179705</wp:posOffset>
            </wp:positionH>
            <wp:positionV relativeFrom="paragraph">
              <wp:posOffset>161290</wp:posOffset>
            </wp:positionV>
            <wp:extent cx="5549900" cy="2471420"/>
            <wp:effectExtent l="133350" t="114300" r="146050" b="157480"/>
            <wp:wrapSquare wrapText="bothSides"/>
            <wp:docPr id="5899113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911302" name="图片 1"/>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549900" cy="2471420"/>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rFonts w:hint="eastAsia"/>
          <w:b/>
          <w:bCs/>
        </w:rPr>
        <w:t>图28 标准化与合规性设计架构</w:t>
      </w:r>
    </w:p>
    <w:p w14:paraId="4D7E3AD7">
      <w:pPr>
        <w:spacing w:line="360" w:lineRule="auto"/>
        <w:rPr>
          <w:sz w:val="24"/>
        </w:rPr>
      </w:pPr>
    </w:p>
    <w:p w14:paraId="7EA42C7C">
      <w:pPr>
        <w:numPr>
          <w:ilvl w:val="2"/>
          <w:numId w:val="1"/>
        </w:numPr>
        <w:spacing w:line="360" w:lineRule="auto"/>
        <w:outlineLvl w:val="2"/>
        <w:rPr>
          <w:b/>
          <w:bCs/>
          <w:sz w:val="28"/>
          <w:szCs w:val="28"/>
        </w:rPr>
      </w:pPr>
      <w:bookmarkStart w:id="52" w:name="_Toc221113277"/>
      <w:r>
        <w:rPr>
          <w:b/>
          <w:bCs/>
          <w:sz w:val="28"/>
          <w:szCs w:val="28"/>
        </w:rPr>
        <w:t>多层次标准化体系构建</w:t>
      </w:r>
      <w:bookmarkEnd w:id="52"/>
    </w:p>
    <w:p w14:paraId="7B4B7DD7">
      <w:pPr>
        <w:spacing w:line="360" w:lineRule="auto"/>
        <w:rPr>
          <w:sz w:val="24"/>
        </w:rPr>
      </w:pPr>
    </w:p>
    <w:p w14:paraId="1A27976B">
      <w:pPr>
        <w:spacing w:line="360" w:lineRule="auto"/>
        <w:ind w:firstLine="480" w:firstLineChars="200"/>
        <w:rPr>
          <w:sz w:val="24"/>
        </w:rPr>
      </w:pPr>
      <w:r>
        <w:rPr>
          <w:sz w:val="24"/>
        </w:rPr>
        <w:t>平台的标准化体系遵循“采纳国际开源标准、对齐国家行业规范、定义平台互联协议”的三层模型，确保从技术实现到业务语义的全面兼容。</w:t>
      </w:r>
    </w:p>
    <w:p w14:paraId="7BE8B683">
      <w:pPr>
        <w:spacing w:line="360" w:lineRule="auto"/>
        <w:ind w:firstLine="480" w:firstLineChars="200"/>
        <w:rPr>
          <w:sz w:val="24"/>
        </w:rPr>
      </w:pPr>
    </w:p>
    <w:p w14:paraId="29AECD35">
      <w:pPr>
        <w:spacing w:line="360" w:lineRule="auto"/>
        <w:ind w:firstLine="480" w:firstLineChars="200"/>
        <w:rPr>
          <w:sz w:val="24"/>
        </w:rPr>
      </w:pPr>
      <w:r>
        <w:rPr>
          <w:sz w:val="24"/>
        </w:rPr>
        <w:t>技术栈标准化：开源参考架构（Open Reference Architecture）合规</w:t>
      </w:r>
    </w:p>
    <w:p w14:paraId="3203296B">
      <w:pPr>
        <w:spacing w:line="360" w:lineRule="auto"/>
        <w:ind w:firstLine="480" w:firstLineChars="200"/>
        <w:rPr>
          <w:sz w:val="24"/>
        </w:rPr>
      </w:pPr>
      <w:r>
        <w:rPr>
          <w:sz w:val="24"/>
        </w:rPr>
        <w:t>平台严格遵循Cloud Native Computing Foundation（CNCF）与Apache软件基金会的成熟项目架构作为事实标准。微服务间的通信完全遵循gRPC/HTTP 2.0协议，并通过Linkerd服务网格实现自动化的mTLS加密，这本身即符合网络安全等级保护2.0中对通信安全性的技术要求。API网关（Apache APISIX）强制所有对外服务接口遵循OpenAPI 3.0规范，并自动生成交互式文档。这种对成熟开源标准的采用，本质上是对经过大规模实践验证的安全、性能与互操作性最佳实践的继承，为合规性奠定了技术基础。</w:t>
      </w:r>
    </w:p>
    <w:p w14:paraId="3E58CC6E">
      <w:pPr>
        <w:spacing w:line="360" w:lineRule="auto"/>
        <w:ind w:firstLine="480" w:firstLineChars="200"/>
        <w:rPr>
          <w:sz w:val="24"/>
        </w:rPr>
      </w:pPr>
    </w:p>
    <w:p w14:paraId="6FA77AA4">
      <w:pPr>
        <w:spacing w:line="360" w:lineRule="auto"/>
        <w:ind w:firstLine="480" w:firstLineChars="200"/>
        <w:rPr>
          <w:sz w:val="24"/>
        </w:rPr>
      </w:pPr>
      <w:r>
        <w:rPr>
          <w:sz w:val="24"/>
        </w:rPr>
        <w:t>数据模型标准化：教育领域语义互操作性</w:t>
      </w:r>
    </w:p>
    <w:p w14:paraId="0718C7E3">
      <w:pPr>
        <w:spacing w:line="360" w:lineRule="auto"/>
        <w:ind w:firstLine="480" w:firstLineChars="200"/>
        <w:rPr>
          <w:sz w:val="24"/>
        </w:rPr>
      </w:pPr>
      <w:r>
        <w:rPr>
          <w:sz w:val="24"/>
        </w:rPr>
        <w:t>在数据资源层，平台超越基础的数据元标准，引入基于Schema.org的EducationEvent、Course、Person等词汇表进行实体扩展，构建具有语义描述能力的数据模型。例如，在集成校本数据中心的学生信息时，平台不仅映射字段，更通过JSON-LD格式为数据添加语义上下文，使其能被AI引擎更好地理解。同时，元数据管理（Apache Atlas）强制要求所有接入数据源必须定义业务术语、数据所有者与质量规则，确保数据血缘可追溯，直接满足《教育部教育数据管理办法》中关于数据溯源与责任认定的要求。下图</w:t>
      </w:r>
      <w:r>
        <w:rPr>
          <w:rFonts w:hint="eastAsia"/>
          <w:sz w:val="24"/>
        </w:rPr>
        <w:t>29</w:t>
      </w:r>
      <w:r>
        <w:rPr>
          <w:sz w:val="24"/>
        </w:rPr>
        <w:t>展示了从多源数据到标准化数据资产的语义增强流程</w:t>
      </w:r>
      <w:r>
        <w:rPr>
          <w:rFonts w:hint="eastAsia"/>
          <w:sz w:val="24"/>
        </w:rPr>
        <w:t>以及基于Schema.org的核心教育数据实体扩展示例表（表9所示）。</w:t>
      </w:r>
    </w:p>
    <w:p w14:paraId="5CB90EED">
      <w:pPr>
        <w:spacing w:line="360" w:lineRule="auto"/>
        <w:jc w:val="center"/>
        <w:rPr>
          <w:sz w:val="24"/>
        </w:rPr>
      </w:pPr>
      <w:r>
        <w:rPr>
          <w:sz w:val="24"/>
        </w:rPr>
        <w:drawing>
          <wp:inline distT="0" distB="0" distL="114300" distR="114300">
            <wp:extent cx="3716020" cy="6566535"/>
            <wp:effectExtent l="0" t="0" r="0" b="5715"/>
            <wp:docPr id="15" name="图片 15" descr="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2.6.1"/>
                    <pic:cNvPicPr>
                      <a:picLocks noChangeAspect="1"/>
                    </pic:cNvPicPr>
                  </pic:nvPicPr>
                  <pic:blipFill>
                    <a:blip r:embed="rId33"/>
                    <a:stretch>
                      <a:fillRect/>
                    </a:stretch>
                  </pic:blipFill>
                  <pic:spPr>
                    <a:xfrm>
                      <a:off x="0" y="0"/>
                      <a:ext cx="3742056" cy="6612743"/>
                    </a:xfrm>
                    <a:prstGeom prst="rect">
                      <a:avLst/>
                    </a:prstGeom>
                  </pic:spPr>
                </pic:pic>
              </a:graphicData>
            </a:graphic>
          </wp:inline>
        </w:drawing>
      </w:r>
    </w:p>
    <w:p w14:paraId="427E9488">
      <w:pPr>
        <w:pStyle w:val="2"/>
        <w:spacing w:line="360" w:lineRule="auto"/>
        <w:ind w:firstLine="422" w:firstLineChars="200"/>
        <w:jc w:val="center"/>
        <w:rPr>
          <w:rFonts w:asciiTheme="minorHAnsi" w:hAnsiTheme="minorHAnsi" w:eastAsiaTheme="minorEastAsia"/>
          <w:b/>
          <w:bCs/>
          <w:sz w:val="21"/>
        </w:rPr>
      </w:pPr>
      <w:r>
        <w:rPr>
          <w:rFonts w:hint="eastAsia" w:asciiTheme="minorHAnsi" w:hAnsiTheme="minorHAnsi" w:eastAsiaTheme="minorEastAsia"/>
          <w:b/>
          <w:bCs/>
          <w:sz w:val="21"/>
        </w:rPr>
        <w:t xml:space="preserve">图29 </w:t>
      </w:r>
      <w:r>
        <w:rPr>
          <w:rFonts w:asciiTheme="minorHAnsi" w:hAnsiTheme="minorHAnsi" w:eastAsiaTheme="minorEastAsia"/>
          <w:b/>
          <w:bCs/>
          <w:sz w:val="21"/>
        </w:rPr>
        <w:t>从多源数据到标准化数据资产的语义增强流程</w:t>
      </w:r>
    </w:p>
    <w:p w14:paraId="0D14F79B">
      <w:pPr>
        <w:pStyle w:val="2"/>
        <w:spacing w:line="360" w:lineRule="auto"/>
        <w:ind w:firstLine="422" w:firstLineChars="200"/>
        <w:jc w:val="center"/>
        <w:rPr>
          <w:rFonts w:asciiTheme="minorHAnsi" w:hAnsiTheme="minorHAnsi" w:eastAsiaTheme="minorEastAsia"/>
          <w:b/>
          <w:bCs/>
          <w:sz w:val="21"/>
        </w:rPr>
      </w:pPr>
      <w:r>
        <w:rPr>
          <w:rFonts w:hint="eastAsia" w:asciiTheme="minorHAnsi" w:hAnsiTheme="minorHAnsi" w:eastAsiaTheme="minorEastAsia"/>
          <w:b/>
          <w:bCs/>
          <w:sz w:val="21"/>
        </w:rPr>
        <w:t>表9 基于Schema.org的教育数据实体扩展示例表</w:t>
      </w:r>
    </w:p>
    <w:p w14:paraId="786BB2BF"/>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40"/>
        <w:gridCol w:w="2520"/>
        <w:gridCol w:w="2131"/>
        <w:gridCol w:w="2131"/>
      </w:tblGrid>
      <w:tr w14:paraId="4B05E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0" w:type="dxa"/>
          </w:tcPr>
          <w:p w14:paraId="56B5477D">
            <w:pPr>
              <w:spacing w:line="360" w:lineRule="auto"/>
              <w:jc w:val="center"/>
              <w:rPr>
                <w:b/>
                <w:bCs/>
                <w:sz w:val="24"/>
              </w:rPr>
            </w:pPr>
            <w:r>
              <w:rPr>
                <w:b/>
                <w:bCs/>
                <w:sz w:val="24"/>
              </w:rPr>
              <w:t>实体类型</w:t>
            </w:r>
          </w:p>
        </w:tc>
        <w:tc>
          <w:tcPr>
            <w:tcW w:w="2520" w:type="dxa"/>
          </w:tcPr>
          <w:p w14:paraId="03847B3A">
            <w:pPr>
              <w:spacing w:line="360" w:lineRule="auto"/>
              <w:jc w:val="center"/>
              <w:rPr>
                <w:b/>
                <w:bCs/>
                <w:sz w:val="24"/>
              </w:rPr>
            </w:pPr>
            <w:r>
              <w:rPr>
                <w:b/>
                <w:bCs/>
                <w:sz w:val="24"/>
              </w:rPr>
              <w:t>扩展属性</w:t>
            </w:r>
          </w:p>
        </w:tc>
        <w:tc>
          <w:tcPr>
            <w:tcW w:w="2131" w:type="dxa"/>
          </w:tcPr>
          <w:p w14:paraId="0C781A5E">
            <w:pPr>
              <w:spacing w:line="360" w:lineRule="auto"/>
              <w:jc w:val="center"/>
              <w:rPr>
                <w:b/>
                <w:bCs/>
                <w:sz w:val="24"/>
              </w:rPr>
            </w:pPr>
            <w:r>
              <w:rPr>
                <w:rFonts w:hint="eastAsia"/>
                <w:b/>
                <w:bCs/>
              </w:rPr>
              <w:t>说明</w:t>
            </w:r>
          </w:p>
        </w:tc>
        <w:tc>
          <w:tcPr>
            <w:tcW w:w="2131" w:type="dxa"/>
          </w:tcPr>
          <w:p w14:paraId="769847C2">
            <w:pPr>
              <w:spacing w:line="360" w:lineRule="auto"/>
              <w:jc w:val="center"/>
              <w:rPr>
                <w:b/>
                <w:bCs/>
                <w:sz w:val="24"/>
              </w:rPr>
            </w:pPr>
            <w:r>
              <w:rPr>
                <w:b/>
                <w:bCs/>
                <w:sz w:val="24"/>
              </w:rPr>
              <w:t>映射标准</w:t>
            </w:r>
          </w:p>
        </w:tc>
      </w:tr>
      <w:tr w14:paraId="4E647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0" w:type="dxa"/>
          </w:tcPr>
          <w:p w14:paraId="3C4F7FC9">
            <w:pPr>
              <w:spacing w:line="360" w:lineRule="auto"/>
              <w:jc w:val="center"/>
              <w:rPr>
                <w:b/>
                <w:bCs/>
                <w:sz w:val="24"/>
              </w:rPr>
            </w:pPr>
            <w:r>
              <w:rPr>
                <w:b/>
                <w:bCs/>
                <w:sz w:val="24"/>
              </w:rPr>
              <w:t>Person</w:t>
            </w:r>
          </w:p>
        </w:tc>
        <w:tc>
          <w:tcPr>
            <w:tcW w:w="2520" w:type="dxa"/>
          </w:tcPr>
          <w:p w14:paraId="50E62693">
            <w:pPr>
              <w:spacing w:line="360" w:lineRule="auto"/>
              <w:jc w:val="center"/>
              <w:rPr>
                <w:sz w:val="24"/>
              </w:rPr>
            </w:pPr>
            <w:r>
              <w:rPr>
                <w:sz w:val="24"/>
              </w:rPr>
              <w:t>affiliation (所属单位), courseCode (学工号)</w:t>
            </w:r>
          </w:p>
        </w:tc>
        <w:tc>
          <w:tcPr>
            <w:tcW w:w="2131" w:type="dxa"/>
          </w:tcPr>
          <w:p w14:paraId="2862A61A">
            <w:pPr>
              <w:spacing w:line="360" w:lineRule="auto"/>
              <w:jc w:val="center"/>
            </w:pPr>
            <w:r>
              <w:rPr>
                <w:rFonts w:hint="eastAsia"/>
              </w:rPr>
              <w:t>扩展教工/学生基本信息</w:t>
            </w:r>
          </w:p>
        </w:tc>
        <w:tc>
          <w:tcPr>
            <w:tcW w:w="2131" w:type="dxa"/>
          </w:tcPr>
          <w:p w14:paraId="6B8AFEF8">
            <w:pPr>
              <w:spacing w:line="360" w:lineRule="auto"/>
              <w:jc w:val="center"/>
              <w:rPr>
                <w:sz w:val="24"/>
              </w:rPr>
            </w:pPr>
            <w:r>
              <w:rPr>
                <w:sz w:val="24"/>
              </w:rPr>
              <w:t>国标 GB/T 29808-2013</w:t>
            </w:r>
          </w:p>
        </w:tc>
      </w:tr>
      <w:tr w14:paraId="48D4D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0" w:type="dxa"/>
          </w:tcPr>
          <w:p w14:paraId="7EBEDF25">
            <w:pPr>
              <w:spacing w:line="360" w:lineRule="auto"/>
              <w:jc w:val="center"/>
              <w:rPr>
                <w:b/>
                <w:bCs/>
                <w:sz w:val="24"/>
              </w:rPr>
            </w:pPr>
            <w:r>
              <w:rPr>
                <w:b/>
                <w:bCs/>
                <w:sz w:val="24"/>
              </w:rPr>
              <w:t>Course</w:t>
            </w:r>
          </w:p>
        </w:tc>
        <w:tc>
          <w:tcPr>
            <w:tcW w:w="2520" w:type="dxa"/>
          </w:tcPr>
          <w:p w14:paraId="7B838F2A">
            <w:pPr>
              <w:spacing w:line="360" w:lineRule="auto"/>
              <w:jc w:val="center"/>
              <w:rPr>
                <w:sz w:val="24"/>
              </w:rPr>
            </w:pPr>
            <w:r>
              <w:rPr>
                <w:sz w:val="24"/>
              </w:rPr>
              <w:t>courseCode (课程代码), credits (学分), occupationalSkill (关联职业技能)</w:t>
            </w:r>
          </w:p>
        </w:tc>
        <w:tc>
          <w:tcPr>
            <w:tcW w:w="2131" w:type="dxa"/>
          </w:tcPr>
          <w:p w14:paraId="011840DD">
            <w:pPr>
              <w:spacing w:line="360" w:lineRule="auto"/>
              <w:jc w:val="center"/>
            </w:pPr>
            <w:r>
              <w:rPr>
                <w:rFonts w:hint="eastAsia"/>
              </w:rPr>
              <w:t>描述课程资源</w:t>
            </w:r>
          </w:p>
        </w:tc>
        <w:tc>
          <w:tcPr>
            <w:tcW w:w="2131" w:type="dxa"/>
          </w:tcPr>
          <w:p w14:paraId="1A7D027A">
            <w:pPr>
              <w:spacing w:line="360" w:lineRule="auto"/>
              <w:jc w:val="center"/>
              <w:rPr>
                <w:sz w:val="24"/>
              </w:rPr>
            </w:pPr>
            <w:r>
              <w:rPr>
                <w:sz w:val="24"/>
              </w:rPr>
              <w:t>教育部课程编码规范</w:t>
            </w:r>
          </w:p>
        </w:tc>
      </w:tr>
      <w:tr w14:paraId="25556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0" w:type="dxa"/>
          </w:tcPr>
          <w:p w14:paraId="27851FCA">
            <w:pPr>
              <w:spacing w:line="360" w:lineRule="auto"/>
              <w:jc w:val="center"/>
              <w:rPr>
                <w:b/>
                <w:bCs/>
                <w:sz w:val="24"/>
              </w:rPr>
            </w:pPr>
            <w:r>
              <w:rPr>
                <w:b/>
                <w:bCs/>
                <w:sz w:val="24"/>
              </w:rPr>
              <w:t>EducationEvent</w:t>
            </w:r>
          </w:p>
        </w:tc>
        <w:tc>
          <w:tcPr>
            <w:tcW w:w="2520" w:type="dxa"/>
          </w:tcPr>
          <w:p w14:paraId="39213F3B">
            <w:pPr>
              <w:spacing w:line="360" w:lineRule="auto"/>
              <w:jc w:val="center"/>
              <w:rPr>
                <w:sz w:val="24"/>
              </w:rPr>
            </w:pPr>
            <w:r>
              <w:rPr>
                <w:sz w:val="24"/>
              </w:rPr>
              <w:t>eventType (考试/实训), location (智慧教室), assesses (考核标准)</w:t>
            </w:r>
          </w:p>
        </w:tc>
        <w:tc>
          <w:tcPr>
            <w:tcW w:w="2131" w:type="dxa"/>
          </w:tcPr>
          <w:p w14:paraId="4B8392C6">
            <w:pPr>
              <w:spacing w:line="360" w:lineRule="auto"/>
              <w:jc w:val="center"/>
            </w:pPr>
            <w:r>
              <w:rPr>
                <w:rFonts w:hint="eastAsia"/>
              </w:rPr>
              <w:t>记录教学与评估活动</w:t>
            </w:r>
          </w:p>
        </w:tc>
        <w:tc>
          <w:tcPr>
            <w:tcW w:w="2131" w:type="dxa"/>
          </w:tcPr>
          <w:p w14:paraId="11A295B1">
            <w:pPr>
              <w:spacing w:line="360" w:lineRule="auto"/>
              <w:jc w:val="center"/>
              <w:rPr>
                <w:sz w:val="24"/>
              </w:rPr>
            </w:pPr>
            <w:r>
              <w:rPr>
                <w:sz w:val="24"/>
              </w:rPr>
              <w:t>自定义， 关联职业教育标准</w:t>
            </w:r>
          </w:p>
        </w:tc>
      </w:tr>
    </w:tbl>
    <w:p w14:paraId="57518CE9">
      <w:pPr>
        <w:spacing w:line="360" w:lineRule="auto"/>
        <w:jc w:val="center"/>
        <w:rPr>
          <w:sz w:val="24"/>
        </w:rPr>
      </w:pPr>
    </w:p>
    <w:p w14:paraId="6E97B277">
      <w:pPr>
        <w:numPr>
          <w:ilvl w:val="2"/>
          <w:numId w:val="1"/>
        </w:numPr>
        <w:spacing w:line="360" w:lineRule="auto"/>
        <w:outlineLvl w:val="2"/>
        <w:rPr>
          <w:b/>
          <w:bCs/>
          <w:sz w:val="28"/>
          <w:szCs w:val="28"/>
        </w:rPr>
      </w:pPr>
      <w:bookmarkStart w:id="53" w:name="_Toc221113278"/>
      <w:r>
        <w:rPr>
          <w:b/>
          <w:bCs/>
          <w:sz w:val="28"/>
          <w:szCs w:val="28"/>
        </w:rPr>
        <w:t>嵌入式合规性检查与审计</w:t>
      </w:r>
      <w:bookmarkEnd w:id="53"/>
    </w:p>
    <w:p w14:paraId="4CA667AE">
      <w:pPr>
        <w:spacing w:line="360" w:lineRule="auto"/>
        <w:rPr>
          <w:sz w:val="24"/>
        </w:rPr>
      </w:pPr>
    </w:p>
    <w:p w14:paraId="26E46025">
      <w:pPr>
        <w:spacing w:line="360" w:lineRule="auto"/>
        <w:ind w:firstLine="480" w:firstLineChars="200"/>
        <w:rPr>
          <w:sz w:val="24"/>
        </w:rPr>
      </w:pPr>
      <w:r>
        <w:rPr>
          <w:sz w:val="24"/>
        </w:rPr>
        <w:t>合规性并非事后检查，而是通过自动化工具链深度嵌入开发与运维（DevSecOps）的每一个环节，形成持续、闭环的治理能力。</w:t>
      </w:r>
    </w:p>
    <w:p w14:paraId="22492E6E">
      <w:pPr>
        <w:spacing w:line="360" w:lineRule="auto"/>
        <w:ind w:firstLine="480" w:firstLineChars="200"/>
        <w:rPr>
          <w:sz w:val="24"/>
        </w:rPr>
      </w:pPr>
    </w:p>
    <w:p w14:paraId="6C86F445">
      <w:pPr>
        <w:spacing w:line="360" w:lineRule="auto"/>
        <w:ind w:firstLine="480" w:firstLineChars="200"/>
        <w:rPr>
          <w:sz w:val="24"/>
        </w:rPr>
      </w:pPr>
      <w:r>
        <w:rPr>
          <w:sz w:val="24"/>
        </w:rPr>
        <w:t>1. 开发阶段：开源许可证与组件合规性流水线</w:t>
      </w:r>
    </w:p>
    <w:p w14:paraId="1055F1C2">
      <w:pPr>
        <w:spacing w:line="360" w:lineRule="auto"/>
        <w:ind w:firstLine="480" w:firstLineChars="200"/>
        <w:rPr>
          <w:sz w:val="24"/>
        </w:rPr>
      </w:pPr>
      <w:r>
        <w:rPr>
          <w:sz w:val="24"/>
        </w:rPr>
        <w:t>在CI/CD管道中，平台构建了多层次的开源合规性扫描与管控机制。我们将合规策略以代码形式进行管理，通过Open Policy Agent（OPA）引擎对基于GitLab CI/CD或Jenkins Pipeline的自动化流程进行统一决策。每一次代码提交或合并请求都会触发由ScanCode、FOSSA、OWASP Dependency-Check及Trivy等工具组成的多维度扫描流水线，它们分别负责目录级许可证识别、依赖树分析、安全漏洞（CVE）检测，并生成标准的软件物料清单（SBOM）。OPA引擎随后依据预定义的Rego策略文件（其中明确规定了Apache 2.0、MIT等许可证白名单，GPL、AGPL等黑名单，以及漏洞严重性阈值）对扫描结果进行实时评估。任何引入黑名单许可证或高危漏洞（如CVSS评分≥7.0）的依赖项都会导致构建任务立即失败，并将详细的违规报告及修复指引反馈至开发界面。对于中低危风险，系统则可配置为发出预警并自动创建跟踪工单。所有成功的构建最终都会生成包含SBOM、扫描报告及策略评估结果的合规性证据包，并与发布的Docker镜像关联存储于制品仓库，形成完整、可追溯的审计线索。</w:t>
      </w:r>
    </w:p>
    <w:p w14:paraId="4C28482A">
      <w:pPr>
        <w:spacing w:line="360" w:lineRule="auto"/>
        <w:ind w:firstLine="480" w:firstLineChars="200"/>
        <w:rPr>
          <w:sz w:val="24"/>
        </w:rPr>
      </w:pPr>
    </w:p>
    <w:p w14:paraId="40653EF0">
      <w:pPr>
        <w:spacing w:line="360" w:lineRule="auto"/>
        <w:ind w:firstLine="480" w:firstLineChars="200"/>
        <w:rPr>
          <w:sz w:val="24"/>
        </w:rPr>
      </w:pPr>
      <w:r>
        <w:rPr>
          <w:sz w:val="24"/>
        </w:rPr>
        <w:t>2. 运行时：数据安全与隐私保护的嵌入式审计</w:t>
      </w:r>
    </w:p>
    <w:p w14:paraId="072C4233">
      <w:pPr>
        <w:spacing w:line="360" w:lineRule="auto"/>
        <w:ind w:firstLine="480" w:firstLineChars="200"/>
        <w:rPr>
          <w:sz w:val="24"/>
        </w:rPr>
      </w:pPr>
      <w:r>
        <w:rPr>
          <w:sz w:val="24"/>
        </w:rPr>
        <w:t>在数据安全与隐私保护层面，平台实现了从身份认证到数据流转的全链路嵌入式控制与审计。通过与学校统一身份认证（SAML 2.0/OIDC）对接的Keycloak，平台实现了集中式身份管理与融合了RBAC和ABAC模型的精细化访问控制。所有通过API网关的访问请求，其主体、动作、资源及上下文属性均被捕获，并生成结构化的审计日志，实时流式传输至Elasticsearch集群，满足等保2.0对审计日志的严格要求。在数据处理层面，我们利用Great Expectations框架在数据治理流程中定义数据质量与隐私规则，对存储的个人敏感信息（如学生身份信息）执行预定义的静态脱敏（如掩码、哈希）。同时，在Presto/Trino查询引擎或应用层集成了动态脱敏模块，根据访问者角色实时改写返回结果，确保数据在消费环节的安全。对于涉及数据跨境或向外部系统流转的场景，平台数据治理中台内置的工作流引擎会自动触发强制审批流程，该流程根据数据敏感等级和目的地，在数据地图（Data Catalog）的驱动下，按预设路径流转至数据所有者及法务合规官等责任人，且所有审批操作均被不可篡改地记录，确保完全符合《个人信息保护法》等法规对数据传输的合规要求。</w:t>
      </w:r>
    </w:p>
    <w:p w14:paraId="47F45D2B">
      <w:pPr>
        <w:spacing w:line="360" w:lineRule="auto"/>
        <w:ind w:firstLine="480" w:firstLineChars="200"/>
        <w:rPr>
          <w:sz w:val="24"/>
        </w:rPr>
      </w:pPr>
    </w:p>
    <w:p w14:paraId="04A70EC5">
      <w:pPr>
        <w:spacing w:line="360" w:lineRule="auto"/>
        <w:ind w:firstLine="480" w:firstLineChars="200"/>
        <w:rPr>
          <w:sz w:val="24"/>
        </w:rPr>
      </w:pPr>
      <w:r>
        <w:rPr>
          <w:sz w:val="24"/>
        </w:rPr>
        <w:t>3. 采购与供应链合规：技术架构的内生响应</w:t>
      </w:r>
    </w:p>
    <w:p w14:paraId="17EE4E5F">
      <w:pPr>
        <w:spacing w:line="360" w:lineRule="auto"/>
        <w:ind w:firstLine="480" w:firstLineChars="200"/>
        <w:rPr>
          <w:sz w:val="24"/>
        </w:rPr>
      </w:pPr>
      <w:r>
        <w:rPr>
          <w:sz w:val="24"/>
        </w:rPr>
        <w:t>平台的技术架构设计本身即为响应政府采购与可持续发展政策提供了内生支持。全栈采用开源技术路线（如Linux, Kubernetes, PostgreSQL），避免了对于特定商业软件的依赖，天然支持由符合资质的国产厂商或中小企业提供技术服务与集成，从而契合扶持中小企业及保障供应链安全的政策导向。在算力资源调度层面，平台基于Kubernetes设计了智能化的绿色计算策略。通过Prometheus监控指标驱动Horizontal Pod Autoscaler（HPA）和Cluster Autoscaler，系统能在业务低峰期自动缩容工作负载与集群节点，显著减少空闲资源能耗；同时，研发中的调度器扩展插件尝试整合节点实时能效数据，实现能耗感知的任务调度。此外，平台通过Grafana仪表板对集群的估算能耗、资源利用率及二氧化碳减排当量等关键指标进行可视化，并能定期自动生成量化评估报告，为组织的“节能环保”政策落实提供坚实的数据支撑。</w:t>
      </w:r>
    </w:p>
    <w:p w14:paraId="2C414BD5">
      <w:pPr>
        <w:spacing w:line="360" w:lineRule="auto"/>
        <w:rPr>
          <w:sz w:val="24"/>
        </w:rPr>
      </w:pPr>
    </w:p>
    <w:p w14:paraId="74721CD0">
      <w:pPr>
        <w:spacing w:line="360" w:lineRule="auto"/>
        <w:rPr>
          <w:sz w:val="24"/>
        </w:rPr>
      </w:pPr>
    </w:p>
    <w:p w14:paraId="6007027E">
      <w:pPr>
        <w:numPr>
          <w:ilvl w:val="2"/>
          <w:numId w:val="1"/>
        </w:numPr>
        <w:spacing w:line="360" w:lineRule="auto"/>
        <w:outlineLvl w:val="2"/>
        <w:rPr>
          <w:b/>
          <w:bCs/>
          <w:sz w:val="28"/>
          <w:szCs w:val="28"/>
        </w:rPr>
      </w:pPr>
      <w:bookmarkStart w:id="54" w:name="_Toc221113279"/>
      <w:r>
        <w:rPr>
          <w:b/>
          <w:bCs/>
          <w:sz w:val="28"/>
          <w:szCs w:val="28"/>
        </w:rPr>
        <w:t>标准化驱动的开放生态集成</w:t>
      </w:r>
      <w:bookmarkEnd w:id="54"/>
    </w:p>
    <w:p w14:paraId="07F78CFE">
      <w:pPr>
        <w:spacing w:line="360" w:lineRule="auto"/>
        <w:rPr>
          <w:sz w:val="24"/>
        </w:rPr>
      </w:pPr>
    </w:p>
    <w:p w14:paraId="3EE8B15C">
      <w:pPr>
        <w:spacing w:line="360" w:lineRule="auto"/>
        <w:ind w:firstLine="480" w:firstLineChars="200"/>
        <w:rPr>
          <w:sz w:val="24"/>
        </w:rPr>
      </w:pPr>
      <w:r>
        <w:rPr>
          <w:sz w:val="24"/>
        </w:rPr>
        <w:t>平台的开放API体系不仅是技术互联的基础，更是保障其长期合规性、可演进性与生态活力的核心机制。我们通过构建一套严格遵循国际通用标准、深度融入国内教育行业规范、并具备自动化治理能力的API开放体系，确保平台能够安全、高效、灵活地融入学校现有及未来的数字化生态，真正成为智慧校园中可插拔、可编排的智能能力中枢。</w:t>
      </w:r>
    </w:p>
    <w:p w14:paraId="7FE8DC07">
      <w:pPr>
        <w:spacing w:line="360" w:lineRule="auto"/>
        <w:ind w:firstLine="480" w:firstLineChars="200"/>
        <w:rPr>
          <w:sz w:val="24"/>
        </w:rPr>
      </w:pPr>
    </w:p>
    <w:p w14:paraId="234DEEEF">
      <w:pPr>
        <w:spacing w:line="360" w:lineRule="auto"/>
        <w:ind w:firstLine="480" w:firstLineChars="200"/>
        <w:rPr>
          <w:sz w:val="24"/>
        </w:rPr>
      </w:pPr>
      <w:r>
        <w:rPr>
          <w:sz w:val="24"/>
        </w:rPr>
        <w:t>平台的开放能力首先通过基于OpenAPI 3.0与GraphQL的双模API网关架构提供统一出口。该网关基于Apache APISIX构建，支持同时对外暴露符合OpenAPI 3.0规范的RESTful API和GraphQL接口，以满足不同集成场景的需求。对于数据查询、模型调用、工作流触发等标准化、资源化的操作，平台提供完整的RESTful API，并使用Swagger Codegen或OpenAPI Generator工具从内部微服务接口定义自动生成统一的OpenAPI 3.0规范文档，通过集成Swagger UI或Redoc为校内第三方开发者提供交互式、可在线调试的API文档门户。所有RESTful API请求均通过APISIX网关进行路由转发、身份认证、速率限制、请求/响应转换与监控。针对智慧校园门户、移动应用等前端场景中常见的“一次请求获取多个关联资源”的复杂查询需求，平台提供统一的GraphQL端点，基于GraphQL Java或Apollo Server实现服务端，将底层数据湖的主题数据、知识库实体、用户画像等不同类型的数据源聚合成一个统一的GraphQL Schema，使前端开发者可以编写灵活的查询语句精确获取所需数据，极大减少网络请求次数与数据传输量，提升应用性能与开发效率。</w:t>
      </w:r>
    </w:p>
    <w:p w14:paraId="7FD3F9FF">
      <w:pPr>
        <w:spacing w:line="360" w:lineRule="auto"/>
        <w:ind w:firstLine="480" w:firstLineChars="200"/>
        <w:rPr>
          <w:sz w:val="24"/>
        </w:rPr>
      </w:pPr>
    </w:p>
    <w:p w14:paraId="022AAE2A">
      <w:pPr>
        <w:spacing w:line="360" w:lineRule="auto"/>
        <w:ind w:firstLine="480" w:firstLineChars="200"/>
        <w:rPr>
          <w:sz w:val="24"/>
        </w:rPr>
      </w:pPr>
      <w:r>
        <w:rPr>
          <w:sz w:val="24"/>
        </w:rPr>
        <w:t>为确保平台与智慧校园生态的安全无缝集成，在身份认证与权限管理层面严格遵循OAuth 2.0/OIDC与SCIM等国际标准协议。平台深度集成开源身份与访问管理解决方案Keycloak作为认证代理，将其配置为与学校现有的统一身份认证中心建立信任关系，支持OAuth 2.0授权码模式和OpenID Connect协议。当用户从智慧校园门户访问平台应用时，触发标准的OIDC认证流程，由学校认证中心完成身份验证后向Keycloak颁发ID Token和Access Token，Keycloak验证Token后为用户创建平台内会话并颁发平台自签名的JWT，实现无感知的单点登录。在细粒度权限与属性同步方面，平台通过实现System for Cross-domain Identity Management 2.0协议的客户端，与学校的主数据系统或HR系统进行定期或事件驱动的同步，标准化处理用户、组等核心身份资源的增删改查操作，使学校组织机构调整、人员岗位变动、角色权限更新等信息可以自动、准实时地同步至平台内部。平台内部的基于角色的访问控制和基于属性的访问控制引擎，依据同步过来的用户所属部门、岗位角色、业务标签等属性，动态计算其对平台内特定数据、API、AI应用的访问权限，实现权限的集中管控与精细授权。</w:t>
      </w:r>
    </w:p>
    <w:p w14:paraId="3A6844EB">
      <w:pPr>
        <w:spacing w:line="360" w:lineRule="auto"/>
        <w:ind w:firstLine="480" w:firstLineChars="200"/>
        <w:rPr>
          <w:sz w:val="24"/>
        </w:rPr>
      </w:pPr>
    </w:p>
    <w:p w14:paraId="4D28C609">
      <w:pPr>
        <w:spacing w:line="360" w:lineRule="auto"/>
        <w:ind w:firstLine="480" w:firstLineChars="200"/>
        <w:rPr>
          <w:sz w:val="24"/>
        </w:rPr>
      </w:pPr>
      <w:r>
        <w:rPr>
          <w:sz w:val="24"/>
        </w:rPr>
        <w:t>平台的开放不仅是接口的开放，更是数据语义的开放，因此我们确保平台的核心数据模型与教育部发布的相关标准对齐，以提升跨系统数据交换的理解一致性。在平台数据资源层设计时，我们参考《教育部教育管理信息化标准》、《教育基础数据元》等规范定义平台内部的核心数据实体的属性集，同时采用JSON-LD格式为核心数据实体添加基于Schema.org词汇表的语义注解，使消费系统能更好地理解数据字段的准确含义。对于通过API交换的数据，我们规定统一采用JSON作为数据格式，并明确时间字段遵循ISO 8601标准、枚举值定义清晰；对于批量数据交换或数据订阅场景，支持Apache Avro作为可选格式，并通过Apache Kafka或HTTP/2 Server-Sent Events提供流式数据推送能力，满足实时性要求高的业务场景。</w:t>
      </w:r>
    </w:p>
    <w:p w14:paraId="30422FDF">
      <w:pPr>
        <w:spacing w:line="360" w:lineRule="auto"/>
        <w:ind w:firstLine="480" w:firstLineChars="200"/>
        <w:rPr>
          <w:sz w:val="24"/>
        </w:rPr>
      </w:pPr>
    </w:p>
    <w:p w14:paraId="7633475D">
      <w:pPr>
        <w:spacing w:line="360" w:lineRule="auto"/>
        <w:ind w:firstLine="480" w:firstLineChars="200"/>
        <w:rPr>
          <w:sz w:val="24"/>
        </w:rPr>
      </w:pPr>
      <w:r>
        <w:rPr>
          <w:sz w:val="24"/>
        </w:rPr>
        <w:t>为了支持未来新设备、新系统、新AI能力的便捷接入，平台设计了插件化的生态集成框架。基于Apache Camel或自定义的轻量级SDK，平台定义了标准的连接器接口，任何第三方系统只要按照接口规范实现一个连接器插件，打包为JAR文件或容器镜像并注册到平台的“连接器仓库”中，即可被平台的数据集成模块或AI工作流引擎发现和调用，极大地降低了新数据源或能力源的接入成本。在AI应用开发模块，平台允许开发者上传自定义的Python或Java函数，或封装好的符合ONNX格式或PMML标准的机器学习模型，作为工作流中的可复用节点，这些自定义资产经过平台安全扫描和性能测试后，可被授权给其他开发者使用，形成校内不断丰富的智能能力市场。</w:t>
      </w:r>
    </w:p>
    <w:p w14:paraId="2845B452">
      <w:pPr>
        <w:spacing w:line="360" w:lineRule="auto"/>
        <w:ind w:firstLine="480" w:firstLineChars="200"/>
        <w:rPr>
          <w:sz w:val="24"/>
        </w:rPr>
      </w:pPr>
    </w:p>
    <w:p w14:paraId="1523793F">
      <w:pPr>
        <w:spacing w:line="360" w:lineRule="auto"/>
        <w:ind w:firstLine="480" w:firstLineChars="200"/>
        <w:rPr>
          <w:sz w:val="24"/>
        </w:rPr>
      </w:pPr>
      <w:r>
        <w:rPr>
          <w:sz w:val="24"/>
        </w:rPr>
        <w:t>开放生态的健康运行离不开严格的治理，因此平台内置了API的全生命周期管理工具。基于Backstage或类似的开源开发者门户框架，我们为校内第三方开发者提供一站式服务，开发者可以在此申请API访问权限、查看实时配额与调用统计、查阅交互式文档、提交工单，并自助下载由OpenAPI Generator自动生成的各语言版本SDK。同时，所有经过API网关的请求，其元数据都被详细记录并流入Prometheus进行指标聚合，在Grafana中形成API健康度、性能TOP榜、错误分析等监控仪表盘，详细的审计日志被持久化至Elasticsearch以满足安全合规审计与异常行为分析的需求。网关集成的限流、熔断、防爬虫等策略，有效保护后端服务免受滥用和攻击。</w:t>
      </w:r>
    </w:p>
    <w:p w14:paraId="0CEF15FE">
      <w:pPr>
        <w:spacing w:line="360" w:lineRule="auto"/>
        <w:ind w:firstLine="480" w:firstLineChars="200"/>
        <w:rPr>
          <w:sz w:val="24"/>
        </w:rPr>
      </w:pPr>
    </w:p>
    <w:p w14:paraId="4B2B7C47">
      <w:pPr>
        <w:spacing w:line="360" w:lineRule="auto"/>
        <w:ind w:firstLine="480" w:firstLineChars="200"/>
        <w:rPr>
          <w:sz w:val="24"/>
        </w:rPr>
      </w:pPr>
      <w:r>
        <w:rPr>
          <w:sz w:val="24"/>
        </w:rPr>
        <w:t>总结而言，本平台的标准化与开放生态集成设计，是一个从协议、数据、身份到治理的完整技术栈。它通过拥抱开源标准、对齐行业规范、提供可扩展框架，并辅以自动化治理工具，构建了一个既“合规”又“灵活”、既“安全”又“开放”的技术基底。这使得常州工程职业技术学院的AI数智平台不仅能无缝融入当前的智慧校园体系，更能以标准化、模块化的方式，持续吸收和集成未来的技术创新与生态伙伴服务，为构建一个安全可信、持续演进、充满活力的智慧教育新生态提供了坚实可靠的核心支撑。</w:t>
      </w:r>
    </w:p>
    <w:p w14:paraId="5E4B82D0">
      <w:pPr>
        <w:spacing w:line="360" w:lineRule="auto"/>
        <w:ind w:firstLine="480" w:firstLineChars="200"/>
        <w:rPr>
          <w:sz w:val="24"/>
        </w:rPr>
      </w:pPr>
    </w:p>
    <w:p w14:paraId="11E6494C">
      <w:pPr>
        <w:spacing w:line="360" w:lineRule="auto"/>
        <w:ind w:firstLine="480" w:firstLineChars="200"/>
        <w:rPr>
          <w:sz w:val="24"/>
        </w:rPr>
      </w:pPr>
    </w:p>
    <w:p w14:paraId="67846B68">
      <w:pPr>
        <w:spacing w:line="360" w:lineRule="auto"/>
        <w:ind w:firstLine="480" w:firstLineChars="200"/>
        <w:rPr>
          <w:sz w:val="24"/>
        </w:rPr>
      </w:pPr>
    </w:p>
    <w:p w14:paraId="2549C83A">
      <w:pPr>
        <w:spacing w:line="360" w:lineRule="auto"/>
        <w:ind w:firstLine="480" w:firstLineChars="200"/>
        <w:rPr>
          <w:sz w:val="24"/>
        </w:rPr>
      </w:pPr>
    </w:p>
    <w:p w14:paraId="59F9F66F">
      <w:pPr>
        <w:spacing w:line="360" w:lineRule="auto"/>
        <w:ind w:firstLine="480" w:firstLineChars="200"/>
        <w:rPr>
          <w:sz w:val="24"/>
        </w:rPr>
      </w:pPr>
    </w:p>
    <w:p w14:paraId="0F3187B3">
      <w:pPr>
        <w:spacing w:line="360" w:lineRule="auto"/>
        <w:ind w:firstLine="480" w:firstLineChars="200"/>
        <w:rPr>
          <w:sz w:val="24"/>
        </w:rPr>
      </w:pPr>
    </w:p>
    <w:p w14:paraId="07E14CE4">
      <w:pPr>
        <w:spacing w:line="360" w:lineRule="auto"/>
        <w:ind w:firstLine="480" w:firstLineChars="200"/>
        <w:rPr>
          <w:sz w:val="24"/>
        </w:rPr>
      </w:pPr>
    </w:p>
    <w:p w14:paraId="65480CB9">
      <w:pPr>
        <w:spacing w:line="360" w:lineRule="auto"/>
        <w:ind w:firstLine="480" w:firstLineChars="200"/>
        <w:rPr>
          <w:sz w:val="24"/>
        </w:rPr>
      </w:pPr>
    </w:p>
    <w:p w14:paraId="24154740">
      <w:pPr>
        <w:spacing w:line="360" w:lineRule="auto"/>
        <w:ind w:firstLine="480" w:firstLineChars="200"/>
        <w:rPr>
          <w:sz w:val="24"/>
        </w:rPr>
      </w:pPr>
    </w:p>
    <w:p w14:paraId="64036583">
      <w:pPr>
        <w:spacing w:line="360" w:lineRule="auto"/>
        <w:ind w:firstLine="480" w:firstLineChars="200"/>
        <w:rPr>
          <w:sz w:val="24"/>
        </w:rPr>
      </w:pPr>
    </w:p>
    <w:p w14:paraId="69509766">
      <w:pPr>
        <w:spacing w:line="360" w:lineRule="auto"/>
        <w:ind w:firstLine="480" w:firstLineChars="200"/>
        <w:rPr>
          <w:sz w:val="24"/>
        </w:rPr>
      </w:pPr>
    </w:p>
    <w:p w14:paraId="053AB42B">
      <w:pPr>
        <w:spacing w:line="360" w:lineRule="auto"/>
        <w:ind w:firstLine="480" w:firstLineChars="200"/>
        <w:rPr>
          <w:sz w:val="24"/>
        </w:rPr>
      </w:pPr>
    </w:p>
    <w:p w14:paraId="4A969305">
      <w:pPr>
        <w:numPr>
          <w:ilvl w:val="0"/>
          <w:numId w:val="1"/>
        </w:numPr>
        <w:spacing w:line="360" w:lineRule="auto"/>
        <w:outlineLvl w:val="0"/>
        <w:rPr>
          <w:b/>
          <w:bCs/>
          <w:sz w:val="32"/>
          <w:szCs w:val="32"/>
        </w:rPr>
      </w:pPr>
      <w:bookmarkStart w:id="55" w:name="_Toc221113280"/>
      <w:r>
        <w:rPr>
          <w:b/>
          <w:bCs/>
          <w:sz w:val="32"/>
          <w:szCs w:val="32"/>
        </w:rPr>
        <w:t>项目实施计划方案总体结构</w:t>
      </w:r>
      <w:bookmarkEnd w:id="55"/>
    </w:p>
    <w:p w14:paraId="0D92F951">
      <w:pPr>
        <w:spacing w:line="360" w:lineRule="auto"/>
        <w:rPr>
          <w:sz w:val="24"/>
        </w:rPr>
      </w:pPr>
    </w:p>
    <w:p w14:paraId="5A734B60">
      <w:pPr>
        <w:pBdr>
          <w:top w:val="single" w:color="auto" w:sz="4" w:space="0"/>
          <w:left w:val="single" w:color="auto" w:sz="4" w:space="0"/>
          <w:bottom w:val="single" w:color="auto" w:sz="4" w:space="0"/>
          <w:right w:val="single" w:color="auto" w:sz="4" w:space="0"/>
        </w:pBdr>
        <w:spacing w:line="360" w:lineRule="auto"/>
        <w:ind w:firstLine="482" w:firstLineChars="200"/>
        <w:rPr>
          <w:b/>
          <w:bCs/>
          <w:sz w:val="24"/>
        </w:rPr>
      </w:pPr>
      <w:r>
        <w:rPr>
          <w:rFonts w:hint="eastAsia"/>
          <w:b/>
          <w:bCs/>
          <w:sz w:val="24"/>
        </w:rPr>
        <w:t>本章节重点阐述项目实施计划方案，包含项目组织与实施计划、项目管理、系统测试方案等。</w:t>
      </w:r>
    </w:p>
    <w:p w14:paraId="141F8F80">
      <w:pPr>
        <w:spacing w:line="360" w:lineRule="auto"/>
        <w:rPr>
          <w:sz w:val="24"/>
        </w:rPr>
      </w:pPr>
    </w:p>
    <w:p w14:paraId="19D0CB03">
      <w:pPr>
        <w:numPr>
          <w:ilvl w:val="1"/>
          <w:numId w:val="1"/>
        </w:numPr>
        <w:spacing w:line="360" w:lineRule="auto"/>
        <w:outlineLvl w:val="1"/>
        <w:rPr>
          <w:b/>
          <w:bCs/>
          <w:sz w:val="30"/>
          <w:szCs w:val="30"/>
        </w:rPr>
      </w:pPr>
      <w:bookmarkStart w:id="56" w:name="_Toc221113281"/>
      <w:r>
        <w:rPr>
          <w:b/>
          <w:bCs/>
          <w:sz w:val="30"/>
          <w:szCs w:val="30"/>
        </w:rPr>
        <w:t>项目总体策略与原则</w:t>
      </w:r>
      <w:bookmarkEnd w:id="56"/>
    </w:p>
    <w:p w14:paraId="7A08FDB0">
      <w:pPr>
        <w:spacing w:line="360" w:lineRule="auto"/>
        <w:rPr>
          <w:sz w:val="24"/>
        </w:rPr>
      </w:pPr>
    </w:p>
    <w:p w14:paraId="45F953B4">
      <w:pPr>
        <w:spacing w:line="360" w:lineRule="auto"/>
        <w:ind w:firstLine="420" w:firstLineChars="200"/>
        <w:rPr>
          <w:b/>
          <w:bCs/>
          <w:sz w:val="24"/>
        </w:rPr>
      </w:pPr>
      <w:r>
        <w:drawing>
          <wp:anchor distT="0" distB="0" distL="114300" distR="114300" simplePos="0" relativeHeight="251676672" behindDoc="0" locked="0" layoutInCell="1" allowOverlap="1">
            <wp:simplePos x="0" y="0"/>
            <wp:positionH relativeFrom="column">
              <wp:posOffset>-219710</wp:posOffset>
            </wp:positionH>
            <wp:positionV relativeFrom="paragraph">
              <wp:posOffset>1247140</wp:posOffset>
            </wp:positionV>
            <wp:extent cx="5722620" cy="2042795"/>
            <wp:effectExtent l="114300" t="114300" r="106680" b="147955"/>
            <wp:wrapSquare wrapText="bothSides"/>
            <wp:docPr id="11544318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431833" name="图片 1"/>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22620" cy="2042795"/>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sz w:val="24"/>
        </w:rPr>
        <w:t>本项目实施遵循 “敏捷并行、价值优先、风险前置” 的核心策略，以确保在60个日历日的紧凑周期内，高质量交付符合招标文件全部实质性要求及功能需求的AI数智集成与开发管理平台。</w:t>
      </w:r>
      <w:r>
        <w:rPr>
          <w:rFonts w:hint="eastAsia"/>
          <w:sz w:val="24"/>
        </w:rPr>
        <w:t>项目总体策略与原则如图30所示。</w:t>
      </w:r>
    </w:p>
    <w:p w14:paraId="090D0985">
      <w:pPr>
        <w:spacing w:line="360" w:lineRule="auto"/>
        <w:ind w:firstLine="480" w:firstLineChars="200"/>
        <w:jc w:val="left"/>
        <w:rPr>
          <w:sz w:val="24"/>
        </w:rPr>
      </w:pPr>
    </w:p>
    <w:p w14:paraId="5432E0B9">
      <w:pPr>
        <w:spacing w:line="360" w:lineRule="auto"/>
        <w:jc w:val="center"/>
        <w:rPr>
          <w:b/>
          <w:bCs/>
        </w:rPr>
      </w:pPr>
      <w:r>
        <w:rPr>
          <w:rFonts w:hint="eastAsia"/>
          <w:b/>
          <w:bCs/>
        </w:rPr>
        <w:t>图30 项目总体策略与原则</w:t>
      </w:r>
    </w:p>
    <w:p w14:paraId="3EE3F5E5">
      <w:pPr>
        <w:spacing w:line="360" w:lineRule="auto"/>
        <w:rPr>
          <w:sz w:val="24"/>
        </w:rPr>
      </w:pPr>
    </w:p>
    <w:p w14:paraId="4A5D201E">
      <w:pPr>
        <w:numPr>
          <w:ilvl w:val="2"/>
          <w:numId w:val="1"/>
        </w:numPr>
        <w:spacing w:line="360" w:lineRule="auto"/>
        <w:outlineLvl w:val="2"/>
        <w:rPr>
          <w:b/>
          <w:bCs/>
          <w:sz w:val="28"/>
          <w:szCs w:val="28"/>
        </w:rPr>
      </w:pPr>
      <w:bookmarkStart w:id="57" w:name="_Toc221113282"/>
      <w:r>
        <w:rPr>
          <w:b/>
          <w:bCs/>
          <w:sz w:val="28"/>
          <w:szCs w:val="28"/>
        </w:rPr>
        <w:t>敏捷并行实施原则</w:t>
      </w:r>
      <w:bookmarkEnd w:id="57"/>
    </w:p>
    <w:p w14:paraId="71A5F523">
      <w:pPr>
        <w:spacing w:line="360" w:lineRule="auto"/>
        <w:rPr>
          <w:sz w:val="24"/>
        </w:rPr>
      </w:pPr>
    </w:p>
    <w:p w14:paraId="06BA428B">
      <w:pPr>
        <w:spacing w:line="360" w:lineRule="auto"/>
        <w:ind w:firstLine="480" w:firstLineChars="200"/>
        <w:rPr>
          <w:sz w:val="24"/>
        </w:rPr>
      </w:pPr>
      <w:r>
        <w:rPr>
          <w:sz w:val="24"/>
        </w:rPr>
        <w:t>我们将摒弃传统线性瀑布模型中“需求-设计-开发-测试-上线”的串行依赖模式，采用高度重叠、模块化并行的敏捷实施方法。核心思路是以“业务价值持续交付”为导向，将复杂项目解耦为若干个可独立开发、测试并集成上线的“特性模块”，并借助成熟的DevOps工具链和文化，建立“每日构建、迭代发布、实时反馈”的快速交付闭环。这种方式不仅能够确保项目在60个日历日内成功交付，更能通过早期增量交付和验证，显著提升最终成果与用户真实需求的契合度，降低开发风险，保障质量始终受控。</w:t>
      </w:r>
      <w:r>
        <w:rPr>
          <w:rFonts w:hint="eastAsia"/>
          <w:sz w:val="24"/>
        </w:rPr>
        <w:t>项目敏捷并行实施阶段重叠示意如表10所示。</w:t>
      </w:r>
    </w:p>
    <w:p w14:paraId="329787AB">
      <w:pPr>
        <w:pStyle w:val="2"/>
        <w:spacing w:line="360" w:lineRule="auto"/>
        <w:ind w:firstLine="422" w:firstLineChars="200"/>
        <w:jc w:val="center"/>
        <w:rPr>
          <w:rFonts w:asciiTheme="minorHAnsi" w:hAnsiTheme="minorHAnsi" w:eastAsiaTheme="minorEastAsia"/>
          <w:b/>
          <w:bCs/>
          <w:sz w:val="21"/>
        </w:rPr>
      </w:pPr>
      <w:r>
        <w:rPr>
          <w:rFonts w:hint="eastAsia" w:asciiTheme="minorHAnsi" w:hAnsiTheme="minorHAnsi" w:eastAsiaTheme="minorEastAsia"/>
          <w:b/>
          <w:bCs/>
          <w:sz w:val="21"/>
        </w:rPr>
        <w:t>表10 项目敏捷并行实施阶段重叠示意表</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9"/>
        <w:gridCol w:w="1637"/>
        <w:gridCol w:w="1407"/>
        <w:gridCol w:w="1797"/>
        <w:gridCol w:w="2127"/>
      </w:tblGrid>
      <w:tr w14:paraId="73F54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036" w:type="dxa"/>
            <w:gridSpan w:val="2"/>
            <w:shd w:val="clear" w:color="auto" w:fill="FFFF00"/>
          </w:tcPr>
          <w:p w14:paraId="7A3C754C">
            <w:pPr>
              <w:spacing w:line="360" w:lineRule="auto"/>
              <w:jc w:val="center"/>
              <w:rPr>
                <w:sz w:val="24"/>
              </w:rPr>
            </w:pPr>
            <w:r>
              <w:rPr>
                <w:rFonts w:hint="eastAsia"/>
                <w:sz w:val="24"/>
              </w:rPr>
              <w:t>（启动与需求深化）1-10天</w:t>
            </w:r>
          </w:p>
        </w:tc>
        <w:tc>
          <w:tcPr>
            <w:tcW w:w="1407" w:type="dxa"/>
          </w:tcPr>
          <w:p w14:paraId="7C6CDE11">
            <w:pPr>
              <w:spacing w:line="360" w:lineRule="auto"/>
              <w:jc w:val="center"/>
              <w:rPr>
                <w:sz w:val="24"/>
              </w:rPr>
            </w:pPr>
          </w:p>
        </w:tc>
        <w:tc>
          <w:tcPr>
            <w:tcW w:w="1797" w:type="dxa"/>
          </w:tcPr>
          <w:p w14:paraId="77901CF2">
            <w:pPr>
              <w:spacing w:line="360" w:lineRule="auto"/>
              <w:jc w:val="center"/>
              <w:rPr>
                <w:sz w:val="24"/>
              </w:rPr>
            </w:pPr>
          </w:p>
        </w:tc>
        <w:tc>
          <w:tcPr>
            <w:tcW w:w="2127" w:type="dxa"/>
          </w:tcPr>
          <w:p w14:paraId="6EB369F8">
            <w:pPr>
              <w:spacing w:line="360" w:lineRule="auto"/>
              <w:jc w:val="center"/>
              <w:rPr>
                <w:sz w:val="24"/>
              </w:rPr>
            </w:pPr>
          </w:p>
        </w:tc>
      </w:tr>
      <w:tr w14:paraId="53B538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99" w:type="dxa"/>
          </w:tcPr>
          <w:p w14:paraId="2454AF57">
            <w:pPr>
              <w:spacing w:line="360" w:lineRule="auto"/>
              <w:jc w:val="center"/>
              <w:rPr>
                <w:sz w:val="24"/>
              </w:rPr>
            </w:pPr>
          </w:p>
        </w:tc>
        <w:tc>
          <w:tcPr>
            <w:tcW w:w="3044" w:type="dxa"/>
            <w:gridSpan w:val="2"/>
            <w:shd w:val="clear" w:color="auto" w:fill="FFFF00"/>
          </w:tcPr>
          <w:p w14:paraId="5FD77565">
            <w:pPr>
              <w:spacing w:line="360" w:lineRule="auto"/>
              <w:jc w:val="center"/>
              <w:rPr>
                <w:sz w:val="24"/>
              </w:rPr>
            </w:pPr>
            <w:r>
              <w:rPr>
                <w:rFonts w:hint="eastAsia"/>
                <w:sz w:val="24"/>
              </w:rPr>
              <w:t>（部署与核心开发）5-35天</w:t>
            </w:r>
          </w:p>
        </w:tc>
        <w:tc>
          <w:tcPr>
            <w:tcW w:w="1797" w:type="dxa"/>
          </w:tcPr>
          <w:p w14:paraId="67BF86E5">
            <w:pPr>
              <w:spacing w:line="360" w:lineRule="auto"/>
              <w:jc w:val="center"/>
              <w:rPr>
                <w:sz w:val="24"/>
              </w:rPr>
            </w:pPr>
          </w:p>
        </w:tc>
        <w:tc>
          <w:tcPr>
            <w:tcW w:w="2127" w:type="dxa"/>
          </w:tcPr>
          <w:p w14:paraId="39A6EBEA">
            <w:pPr>
              <w:spacing w:line="360" w:lineRule="auto"/>
              <w:jc w:val="center"/>
              <w:rPr>
                <w:sz w:val="24"/>
              </w:rPr>
            </w:pPr>
          </w:p>
        </w:tc>
      </w:tr>
      <w:tr w14:paraId="2709E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399" w:type="dxa"/>
          </w:tcPr>
          <w:p w14:paraId="6A58189A">
            <w:pPr>
              <w:spacing w:line="360" w:lineRule="auto"/>
              <w:jc w:val="center"/>
              <w:rPr>
                <w:sz w:val="24"/>
              </w:rPr>
            </w:pPr>
          </w:p>
        </w:tc>
        <w:tc>
          <w:tcPr>
            <w:tcW w:w="1637" w:type="dxa"/>
          </w:tcPr>
          <w:p w14:paraId="50B4ABDA">
            <w:pPr>
              <w:spacing w:line="360" w:lineRule="auto"/>
              <w:jc w:val="center"/>
              <w:rPr>
                <w:sz w:val="24"/>
              </w:rPr>
            </w:pPr>
          </w:p>
        </w:tc>
        <w:tc>
          <w:tcPr>
            <w:tcW w:w="3204" w:type="dxa"/>
            <w:gridSpan w:val="2"/>
            <w:shd w:val="clear" w:color="auto" w:fill="FFFF00"/>
          </w:tcPr>
          <w:p w14:paraId="3E31B737">
            <w:pPr>
              <w:spacing w:line="360" w:lineRule="auto"/>
              <w:jc w:val="center"/>
              <w:rPr>
                <w:sz w:val="24"/>
              </w:rPr>
            </w:pPr>
            <w:r>
              <w:rPr>
                <w:rFonts w:hint="eastAsia"/>
                <w:sz w:val="24"/>
              </w:rPr>
              <w:t>（集成与内部测试）25-50天</w:t>
            </w:r>
          </w:p>
        </w:tc>
        <w:tc>
          <w:tcPr>
            <w:tcW w:w="2127" w:type="dxa"/>
          </w:tcPr>
          <w:p w14:paraId="144E9DD6">
            <w:pPr>
              <w:spacing w:line="360" w:lineRule="auto"/>
              <w:jc w:val="center"/>
              <w:rPr>
                <w:sz w:val="24"/>
              </w:rPr>
            </w:pPr>
          </w:p>
        </w:tc>
      </w:tr>
      <w:tr w14:paraId="4ACE5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 w:hRule="atLeast"/>
        </w:trPr>
        <w:tc>
          <w:tcPr>
            <w:tcW w:w="1399" w:type="dxa"/>
          </w:tcPr>
          <w:p w14:paraId="4107ABAF">
            <w:pPr>
              <w:spacing w:line="360" w:lineRule="auto"/>
              <w:jc w:val="center"/>
              <w:rPr>
                <w:sz w:val="24"/>
              </w:rPr>
            </w:pPr>
          </w:p>
        </w:tc>
        <w:tc>
          <w:tcPr>
            <w:tcW w:w="1637" w:type="dxa"/>
          </w:tcPr>
          <w:p w14:paraId="5E523782">
            <w:pPr>
              <w:spacing w:line="360" w:lineRule="auto"/>
              <w:jc w:val="center"/>
              <w:rPr>
                <w:sz w:val="24"/>
              </w:rPr>
            </w:pPr>
          </w:p>
        </w:tc>
        <w:tc>
          <w:tcPr>
            <w:tcW w:w="1407" w:type="dxa"/>
          </w:tcPr>
          <w:p w14:paraId="13285563">
            <w:pPr>
              <w:spacing w:line="360" w:lineRule="auto"/>
              <w:jc w:val="center"/>
              <w:rPr>
                <w:sz w:val="24"/>
              </w:rPr>
            </w:pPr>
          </w:p>
        </w:tc>
        <w:tc>
          <w:tcPr>
            <w:tcW w:w="3924" w:type="dxa"/>
            <w:gridSpan w:val="2"/>
            <w:shd w:val="clear" w:color="auto" w:fill="FFFF00"/>
          </w:tcPr>
          <w:p w14:paraId="0D6084AB">
            <w:pPr>
              <w:spacing w:line="360" w:lineRule="auto"/>
              <w:jc w:val="center"/>
              <w:rPr>
                <w:sz w:val="24"/>
              </w:rPr>
            </w:pPr>
            <w:r>
              <w:rPr>
                <w:rFonts w:hint="eastAsia"/>
                <w:sz w:val="24"/>
              </w:rPr>
              <w:t>（UAT与培训）45-55天</w:t>
            </w:r>
          </w:p>
        </w:tc>
      </w:tr>
    </w:tbl>
    <w:p w14:paraId="68B15254">
      <w:pPr>
        <w:spacing w:line="360" w:lineRule="auto"/>
        <w:jc w:val="center"/>
        <w:rPr>
          <w:sz w:val="24"/>
        </w:rPr>
      </w:pPr>
    </w:p>
    <w:p w14:paraId="75B03EC6">
      <w:pPr>
        <w:numPr>
          <w:ilvl w:val="3"/>
          <w:numId w:val="1"/>
        </w:numPr>
        <w:spacing w:line="360" w:lineRule="auto"/>
        <w:outlineLvl w:val="3"/>
        <w:rPr>
          <w:b/>
          <w:bCs/>
          <w:sz w:val="24"/>
        </w:rPr>
      </w:pPr>
      <w:bookmarkStart w:id="58" w:name="_Toc221113283"/>
      <w:r>
        <w:rPr>
          <w:b/>
          <w:bCs/>
          <w:sz w:val="24"/>
        </w:rPr>
        <w:t>以特性模块为中心的并行工程管理</w:t>
      </w:r>
      <w:bookmarkEnd w:id="58"/>
    </w:p>
    <w:p w14:paraId="05651F1B">
      <w:pPr>
        <w:spacing w:line="360" w:lineRule="auto"/>
        <w:rPr>
          <w:sz w:val="24"/>
        </w:rPr>
      </w:pPr>
    </w:p>
    <w:p w14:paraId="1366F4F3">
      <w:pPr>
        <w:spacing w:line="360" w:lineRule="auto"/>
        <w:ind w:firstLine="480" w:firstLineChars="200"/>
        <w:rPr>
          <w:sz w:val="24"/>
        </w:rPr>
      </w:pPr>
      <w:r>
        <w:rPr>
          <w:sz w:val="24"/>
        </w:rPr>
        <w:t>为彻底打破传统线性开发的依赖瓶颈，我们将项目整体任务重构为以“特性模块”为核心的并行工作流。每个核心模块（例如数据湖管理、AI引擎管理、职教知识库、AI问数应用）均配备一个独立的、跨职能的微团队，团队成员涵盖前端、后端、数据工程师、测试工程师以及专职的DevOps工程师。在项目启动后的第一周内，各模块团队即与业务方紧密协作，共同完成该模块的深度需求拆分、用户故事定义，并初步草拟基于OpenAPI 3.0规范的接口契约。从第二周开始，所有模块将遵循统一的为期两周的迭代节奏，并行推进各自的设计、开发和早期测试工作，确保开发活动高度同步且高效。</w:t>
      </w:r>
    </w:p>
    <w:p w14:paraId="6FCFD335">
      <w:pPr>
        <w:spacing w:line="360" w:lineRule="auto"/>
        <w:ind w:firstLine="480" w:firstLineChars="200"/>
        <w:rPr>
          <w:sz w:val="24"/>
        </w:rPr>
      </w:pPr>
    </w:p>
    <w:p w14:paraId="12E69CA8">
      <w:pPr>
        <w:spacing w:line="360" w:lineRule="auto"/>
        <w:ind w:firstLine="480" w:firstLineChars="200"/>
        <w:rPr>
          <w:sz w:val="24"/>
        </w:rPr>
      </w:pPr>
      <w:r>
        <w:rPr>
          <w:sz w:val="24"/>
        </w:rPr>
        <w:t>在项目初期的第1至第2周，我们设计了一条关键并行路径，即环境部署与核心开发同步进行。部署团队会基于Docker容器化技术与轻量级Kubernetes发行版K3s，快速搭建起从开发到测试的基础环境体系。具体而言，团队会使用Docker Compose在开发机群上编排并启动核心依赖服务容器（如PostgreSQL、MinIO、Redis），同时利用K3s在测试环境快速部署一套模拟生产环境的轻量级Kubernetes集群，用于容器编排与调度演练。与之配套的，是通过GitLab CI/CD管道自动化完成基础镜像的多阶段构建、推送至私有Harbor镜像仓库，以及使用Helm Chart将应用模板部署至K3s集群。在此过程中，团队会同步与校方信息中心对接，敲定生产环境的网络安全策略、容器安全基线及持久化存储方案。与此并行，架构师与核心开发人员一旦获得可用的开发环境，便立即着手进行平台基础框架与通用组件的编码，例如基于Spring Boot/Spring Cloud Alibaba搭建微服务骨架，集成Nacos实现统一配置管理，通过Spring Cloud Gateway配置API网关路由规则，并开发与校园统一身份认证系统（OAuth 2.0协议）对接的通用授权模块。这一并行策略从根本上消除了等待环境就绪的传统闲置时间，使基础设施与核心代码开发得以齐头并进。</w:t>
      </w:r>
    </w:p>
    <w:p w14:paraId="34148B02">
      <w:pPr>
        <w:spacing w:line="360" w:lineRule="auto"/>
        <w:ind w:firstLine="480" w:firstLineChars="200"/>
        <w:rPr>
          <w:sz w:val="24"/>
        </w:rPr>
      </w:pPr>
    </w:p>
    <w:p w14:paraId="1325AB7D">
      <w:pPr>
        <w:spacing w:line="360" w:lineRule="auto"/>
        <w:ind w:firstLine="480" w:firstLineChars="200"/>
        <w:rPr>
          <w:sz w:val="24"/>
        </w:rPr>
      </w:pPr>
      <w:r>
        <w:rPr>
          <w:sz w:val="24"/>
        </w:rPr>
        <w:t>我们摒弃了高风险、瀑布式的“全部开发完毕再集成”模式，设计了第二条关键并行路径，即模块开发与集成测试深度重叠。自第3周起，一旦某个模块达到“可集成”状态——这意味着其不仅完成了核心业务逻辑的编码与单元测试，更关键的是其接口契约已使用OpenAPI 3.0规范明确定义并通过Swagger UI实现团队间实时共享与可视化，同时编写了消费者驱动的契约测试（如使用Pact框架）以保证接口兼容性——该模块便会立即被集成到平台的主干分支中。主干分支采用特性开关（Feature Toggles）技术来管理尚未完全成熟的功能，确保集成过程的稳定性。几乎在同一时间，专职的集成测试团队便开始对已集成的模块组合进行自动化验证，这包括基于Postman与Newman或RestAssured框架的接口测试套件、使用JMeter进行的性能基准压测，以及对关键业务流长时间运行的稳定性验证。因此，系统集成不再是一个项目末期的孤立里程碑，而演变为一个从中期开始并持续演进、通过每日多次的持续集成（CI）流水线不断暴露和修复接口问题的常态化并行活动。</w:t>
      </w:r>
    </w:p>
    <w:p w14:paraId="27309322">
      <w:pPr>
        <w:spacing w:line="360" w:lineRule="auto"/>
        <w:ind w:firstLine="480" w:firstLineChars="200"/>
        <w:rPr>
          <w:sz w:val="24"/>
        </w:rPr>
      </w:pPr>
    </w:p>
    <w:p w14:paraId="0D894616">
      <w:pPr>
        <w:spacing w:line="360" w:lineRule="auto"/>
        <w:ind w:firstLine="480" w:firstLineChars="200"/>
        <w:rPr>
          <w:sz w:val="24"/>
        </w:rPr>
      </w:pPr>
      <w:r>
        <w:rPr>
          <w:sz w:val="24"/>
        </w:rPr>
        <w:t>为确保产品始终紧密贴合实际业务需求，我们构建了第三条并行路径，即将早期用户体验深度融入开发闭环。在项目中期进入内部测试阶段后，我们会定期（每周一次）主动邀请校方选定的关键业务代表（如教务处、二级学院教师）对已具雏形的核心应用（如“AI问数”）进行演示与试用。为此，我们会通过K3s的命名空间隔离技术为校方代表提供一个独立的、安全的预览环境，用于部署最新的可交付功能。在该预览环境中，我们集成了用户行为分析工具（如Matomo），以匿名方式收集用户在试用过程中的操作路径与界面交互数据，为体验优化提供量化依据。在每次演示与试用过程中，产品经理与设计师会同步记录业务代表的功能建议、操作反馈及数据需求，并即时将其转化为结构化的用户故事与优化任务。这些来自一线用户的宝贵反馈会通过项目管理工具（如Jira）快速录入产品待办列表，并由产品负责人在后续的迭代评审会上根据优先级纳入下一个开发周期。这种“边开发、边验证、边调整”的紧密闭环，结合持续部署（CD）能力将通过测试的代码快速部署至预览环境，确保了平台功能在开发过程中就能围绕真实业务场景持续打磨，有效避免了在最终交付时出现偏离用户实际使用习惯与需求的重大偏差，极大地提升了产品的业务贴合度与用户接受度。</w:t>
      </w:r>
    </w:p>
    <w:p w14:paraId="66527F73">
      <w:pPr>
        <w:spacing w:line="360" w:lineRule="auto"/>
        <w:rPr>
          <w:sz w:val="24"/>
        </w:rPr>
      </w:pPr>
    </w:p>
    <w:p w14:paraId="05F0473B">
      <w:pPr>
        <w:numPr>
          <w:ilvl w:val="3"/>
          <w:numId w:val="1"/>
        </w:numPr>
        <w:spacing w:line="360" w:lineRule="auto"/>
        <w:outlineLvl w:val="3"/>
        <w:rPr>
          <w:b/>
          <w:bCs/>
          <w:sz w:val="24"/>
        </w:rPr>
      </w:pPr>
      <w:bookmarkStart w:id="59" w:name="_Toc221113284"/>
      <w:r>
        <w:rPr>
          <w:b/>
          <w:bCs/>
          <w:sz w:val="24"/>
        </w:rPr>
        <w:t>基于短周期迭代的渐进式交付</w:t>
      </w:r>
      <w:bookmarkEnd w:id="59"/>
    </w:p>
    <w:p w14:paraId="6DE95DD9">
      <w:pPr>
        <w:spacing w:line="360" w:lineRule="auto"/>
        <w:rPr>
          <w:sz w:val="24"/>
        </w:rPr>
      </w:pPr>
    </w:p>
    <w:p w14:paraId="2CC24F9C">
      <w:pPr>
        <w:spacing w:line="360" w:lineRule="auto"/>
        <w:ind w:firstLine="480" w:firstLineChars="200"/>
        <w:rPr>
          <w:sz w:val="24"/>
        </w:rPr>
      </w:pPr>
      <w:r>
        <w:rPr>
          <w:sz w:val="24"/>
        </w:rPr>
        <w:t>我们将60个日历日的总工期，规划为四个标准迭代（Sprint），每个迭代周期为2周，并预留1周作为上线前冲刺与缓冲。每个迭代都是一个完整的需求分析、设计、开发、测试和演示的小型项目周期，遵循固定的节奏，以建立可预测的开发脉搏。</w:t>
      </w:r>
    </w:p>
    <w:p w14:paraId="3574DE3A">
      <w:pPr>
        <w:spacing w:line="360" w:lineRule="auto"/>
        <w:ind w:firstLine="480" w:firstLineChars="200"/>
        <w:rPr>
          <w:sz w:val="24"/>
        </w:rPr>
      </w:pPr>
    </w:p>
    <w:p w14:paraId="5F7E26A4">
      <w:pPr>
        <w:spacing w:line="360" w:lineRule="auto"/>
        <w:ind w:firstLine="480" w:firstLineChars="200"/>
        <w:rPr>
          <w:sz w:val="24"/>
        </w:rPr>
      </w:pPr>
      <w:r>
        <w:rPr>
          <w:sz w:val="24"/>
        </w:rPr>
        <w:t>迭代内容规划（示例）：</w:t>
      </w:r>
    </w:p>
    <w:p w14:paraId="059D5E0A">
      <w:pPr>
        <w:spacing w:line="360" w:lineRule="auto"/>
        <w:ind w:firstLine="480" w:firstLineChars="200"/>
        <w:rPr>
          <w:sz w:val="24"/>
        </w:rPr>
      </w:pPr>
      <w:r>
        <w:rPr>
          <w:sz w:val="24"/>
        </w:rPr>
        <w:t>Sprint 1（第1-2周）：核心目标为“框架就绪与数据接入验证”。交付物包括：项目基础架构代码库、持续集成流水线、平台基础管理后台、与校本数据中心1-2个核心业务系统的数据接入管道（例如学生信息、课程信息）、以及数据质量初步报告。</w:t>
      </w:r>
    </w:p>
    <w:p w14:paraId="012D4DCC">
      <w:pPr>
        <w:spacing w:line="360" w:lineRule="auto"/>
        <w:ind w:firstLine="480" w:firstLineChars="200"/>
        <w:rPr>
          <w:sz w:val="24"/>
        </w:rPr>
      </w:pPr>
      <w:r>
        <w:rPr>
          <w:sz w:val="24"/>
        </w:rPr>
        <w:t>Sprint 2（第3-4周）：核心目标为“知识管理与AI能力上线”。交付物包括：职教政策知识库管理功能上线、预置知识数据（政策、国标）完成向量化入库、大模型服务框架（如Qwen）完成对接与基础对话测试、AI工作流引擎（Node-RED）可视化界面可用。</w:t>
      </w:r>
    </w:p>
    <w:p w14:paraId="420E4C5F">
      <w:pPr>
        <w:spacing w:line="360" w:lineRule="auto"/>
        <w:ind w:firstLine="480" w:firstLineChars="200"/>
        <w:rPr>
          <w:sz w:val="24"/>
        </w:rPr>
      </w:pPr>
      <w:r>
        <w:rPr>
          <w:sz w:val="24"/>
        </w:rPr>
        <w:t>Sprint 3（第5-6周）：核心目标为“核心应用构建与集成”。交付物包括：“AI问数”标准应用完成开发，可基于自然语言查询学生画像主题数据；低代码应用开发环境具备基础的数据节点和模型节点；与智慧校园平台完成单点登录（SSO）集成。</w:t>
      </w:r>
    </w:p>
    <w:p w14:paraId="3994BA5F">
      <w:pPr>
        <w:spacing w:line="360" w:lineRule="auto"/>
        <w:ind w:firstLine="480" w:firstLineChars="200"/>
        <w:rPr>
          <w:sz w:val="24"/>
        </w:rPr>
      </w:pPr>
      <w:r>
        <w:rPr>
          <w:sz w:val="24"/>
        </w:rPr>
        <w:t>Sprint 4（第7-8周）：核心目标为“全功能集成与优化”。交付物包括：所有模块完成集成与端到端测试；平台性能与安全测试报告；管理员及核心用户培训材料初版；根据前期用户反馈进行界面与交互优化。</w:t>
      </w:r>
    </w:p>
    <w:p w14:paraId="19BE95FF">
      <w:pPr>
        <w:spacing w:line="360" w:lineRule="auto"/>
        <w:ind w:firstLine="480" w:firstLineChars="200"/>
        <w:rPr>
          <w:sz w:val="24"/>
        </w:rPr>
      </w:pPr>
      <w:r>
        <w:rPr>
          <w:sz w:val="24"/>
        </w:rPr>
        <w:t>上线冲刺与缓冲周（第9周）：进行最终的用户验收测试（UAT）、生产环境部署、全员培训及项目文档整理。</w:t>
      </w:r>
    </w:p>
    <w:p w14:paraId="3F8D160D">
      <w:pPr>
        <w:spacing w:line="360" w:lineRule="auto"/>
        <w:ind w:firstLine="480" w:firstLineChars="200"/>
        <w:rPr>
          <w:sz w:val="24"/>
        </w:rPr>
      </w:pPr>
    </w:p>
    <w:p w14:paraId="2293D654">
      <w:pPr>
        <w:spacing w:line="360" w:lineRule="auto"/>
        <w:ind w:firstLine="480" w:firstLineChars="200"/>
        <w:rPr>
          <w:sz w:val="24"/>
        </w:rPr>
      </w:pPr>
      <w:r>
        <w:rPr>
          <w:sz w:val="24"/>
        </w:rPr>
        <w:t>每个迭代结束时，我们将举行正式的迭代评审会议，向包括校方业务代表、技术负责人在内的所有项目干系人，现场演示该周期内完成的所有功能。这种强制性的、高频率的成果展示，不仅让进展透明可见，更能及时捕获方向性偏差，确保项目“始终行驶在正确的轨道上”。</w:t>
      </w:r>
    </w:p>
    <w:p w14:paraId="1C9213AF">
      <w:pPr>
        <w:spacing w:line="360" w:lineRule="auto"/>
        <w:rPr>
          <w:sz w:val="24"/>
        </w:rPr>
      </w:pPr>
    </w:p>
    <w:p w14:paraId="2B09D8C6">
      <w:pPr>
        <w:numPr>
          <w:ilvl w:val="3"/>
          <w:numId w:val="1"/>
        </w:numPr>
        <w:spacing w:line="360" w:lineRule="auto"/>
        <w:outlineLvl w:val="3"/>
        <w:rPr>
          <w:b/>
          <w:bCs/>
          <w:sz w:val="24"/>
        </w:rPr>
      </w:pPr>
      <w:bookmarkStart w:id="60" w:name="_Toc221113285"/>
      <w:r>
        <w:rPr>
          <w:b/>
          <w:bCs/>
          <w:sz w:val="24"/>
        </w:rPr>
        <w:t>贯穿始终的持续集成与交付（CI/CD）实践</w:t>
      </w:r>
      <w:bookmarkEnd w:id="60"/>
    </w:p>
    <w:p w14:paraId="33CDE03F">
      <w:pPr>
        <w:spacing w:line="360" w:lineRule="auto"/>
        <w:rPr>
          <w:sz w:val="24"/>
        </w:rPr>
      </w:pPr>
    </w:p>
    <w:p w14:paraId="7C20B330">
      <w:pPr>
        <w:spacing w:line="360" w:lineRule="auto"/>
        <w:ind w:firstLine="480" w:firstLineChars="200"/>
        <w:rPr>
          <w:sz w:val="24"/>
        </w:rPr>
      </w:pPr>
      <w:r>
        <w:rPr>
          <w:sz w:val="24"/>
        </w:rPr>
        <w:t>为确保高度并行开发模式下的代码质量与集成效率，我们将从项目第一天起，建立并强制执行企业级的CI/CD流水线。该流水线不仅是自动化工具链，更是团队协作和质量保障的核心纪律。</w:t>
      </w:r>
    </w:p>
    <w:p w14:paraId="0D8744A2">
      <w:pPr>
        <w:spacing w:line="360" w:lineRule="auto"/>
        <w:ind w:firstLine="480" w:firstLineChars="200"/>
        <w:rPr>
          <w:sz w:val="24"/>
        </w:rPr>
      </w:pPr>
    </w:p>
    <w:p w14:paraId="1960A8A3">
      <w:pPr>
        <w:spacing w:line="360" w:lineRule="auto"/>
        <w:ind w:firstLine="480" w:firstLineChars="200"/>
        <w:rPr>
          <w:sz w:val="24"/>
        </w:rPr>
      </w:pPr>
      <w:r>
        <w:rPr>
          <w:sz w:val="24"/>
        </w:rPr>
        <w:t>自动化构建与质量门禁：每位开发人员的代码提交都将自动触发完整的构建流程。流水线将依次执行：代码规范检查（SonarQube）、单元测试（覆盖率要求&gt;80%）、依赖安全漏洞扫描（Trivy/Dependency-Check）、Docker镜像构建。任何一步失败，都会立即通知开发人员修复，确保主干代码始终保持“可发布”状态。</w:t>
      </w:r>
    </w:p>
    <w:p w14:paraId="2C322805">
      <w:pPr>
        <w:spacing w:line="360" w:lineRule="auto"/>
        <w:ind w:firstLine="480" w:firstLineChars="200"/>
        <w:rPr>
          <w:sz w:val="24"/>
        </w:rPr>
      </w:pPr>
    </w:p>
    <w:p w14:paraId="1B360124">
      <w:pPr>
        <w:spacing w:line="360" w:lineRule="auto"/>
        <w:ind w:firstLine="480" w:firstLineChars="200"/>
        <w:rPr>
          <w:sz w:val="24"/>
        </w:rPr>
      </w:pPr>
      <w:r>
        <w:rPr>
          <w:sz w:val="24"/>
        </w:rPr>
        <w:t>分层自动化测试策略：在CI阶段通过后，代码将自动部署到集成测试环境，并触发自动化测试套件，包括：API接口契约测试（基于Pact或OpenAPI）、核心业务流集成测试、以及关键路径的端到端UI测试。我们为“AI问数”等核心应用定义关键的“冒烟测试”用例，确保每次集成都不会破坏核心功能。</w:t>
      </w:r>
    </w:p>
    <w:p w14:paraId="01D673D6">
      <w:pPr>
        <w:spacing w:line="360" w:lineRule="auto"/>
        <w:ind w:firstLine="480" w:firstLineChars="200"/>
        <w:rPr>
          <w:sz w:val="24"/>
        </w:rPr>
      </w:pPr>
    </w:p>
    <w:p w14:paraId="1B267D3C">
      <w:pPr>
        <w:spacing w:line="360" w:lineRule="auto"/>
        <w:ind w:firstLine="480" w:firstLineChars="200"/>
        <w:rPr>
          <w:sz w:val="24"/>
        </w:rPr>
      </w:pPr>
      <w:r>
        <w:rPr>
          <w:sz w:val="24"/>
        </w:rPr>
        <w:t>渐进式部署与发布就绪：我们将建立开发、测试、预生产、生产多套环境。通过Git分支策略和自动化部署脚本，实现“特性开关”和“蓝绿部署”能力。这意味着，即使在开发中期，我们也可以将经过充分测试的特定功能模块，安全、平滑地部署到预生产环境，供更广泛的用户群体试用，而不会影响平台上其他正在开发的功能。这大大提高了价值交付的灵活性和安全性。</w:t>
      </w:r>
    </w:p>
    <w:p w14:paraId="2E9F2BE2">
      <w:pPr>
        <w:spacing w:line="360" w:lineRule="auto"/>
        <w:ind w:firstLine="480" w:firstLineChars="200"/>
        <w:rPr>
          <w:sz w:val="24"/>
        </w:rPr>
      </w:pPr>
    </w:p>
    <w:p w14:paraId="2B6359B7">
      <w:pPr>
        <w:spacing w:line="360" w:lineRule="auto"/>
        <w:ind w:firstLine="480" w:firstLineChars="200"/>
        <w:rPr>
          <w:sz w:val="24"/>
        </w:rPr>
      </w:pPr>
      <w:r>
        <w:rPr>
          <w:sz w:val="24"/>
        </w:rPr>
        <w:t>可观测性驱动的快速反馈：在测试环境和预生产环境中，我们将集成应用性能监控（APM）和日志聚合系统。任何自动化测试或用户试用过程中产生的性能瓶颈、错误日志，都会实时推送到开发团队的协作工具（如钉钉/飞书群）中，形成“开发-部署-监控-反馈”的分钟级闭环，使得问题能够被即时定位和修复。</w:t>
      </w:r>
    </w:p>
    <w:p w14:paraId="1D758871">
      <w:pPr>
        <w:spacing w:line="360" w:lineRule="auto"/>
        <w:ind w:firstLine="480" w:firstLineChars="200"/>
        <w:rPr>
          <w:sz w:val="24"/>
        </w:rPr>
      </w:pPr>
    </w:p>
    <w:p w14:paraId="41000B0D">
      <w:pPr>
        <w:spacing w:line="360" w:lineRule="auto"/>
        <w:ind w:firstLine="480" w:firstLineChars="200"/>
        <w:rPr>
          <w:sz w:val="24"/>
        </w:rPr>
      </w:pPr>
      <w:r>
        <w:rPr>
          <w:sz w:val="24"/>
        </w:rPr>
        <w:t>通过上述三个维度的深度融合，我们的敏捷并行实施不仅是一种进度安排，更是一套保障复杂系统在紧迫工期内高质量、高契合度交付的工程与管理体系。</w:t>
      </w:r>
    </w:p>
    <w:p w14:paraId="39B4CDCF">
      <w:pPr>
        <w:spacing w:line="360" w:lineRule="auto"/>
        <w:rPr>
          <w:sz w:val="24"/>
        </w:rPr>
      </w:pPr>
    </w:p>
    <w:p w14:paraId="6848611A">
      <w:pPr>
        <w:numPr>
          <w:ilvl w:val="2"/>
          <w:numId w:val="1"/>
        </w:numPr>
        <w:spacing w:line="360" w:lineRule="auto"/>
        <w:outlineLvl w:val="2"/>
        <w:rPr>
          <w:b/>
          <w:bCs/>
          <w:sz w:val="28"/>
          <w:szCs w:val="28"/>
        </w:rPr>
      </w:pPr>
      <w:bookmarkStart w:id="61" w:name="_Toc221113286"/>
      <w:r>
        <w:rPr>
          <w:b/>
          <w:bCs/>
          <w:sz w:val="28"/>
          <w:szCs w:val="28"/>
        </w:rPr>
        <w:t>核心功能优先交付原则</w:t>
      </w:r>
      <w:bookmarkEnd w:id="61"/>
    </w:p>
    <w:p w14:paraId="3BC219A8">
      <w:pPr>
        <w:spacing w:line="360" w:lineRule="auto"/>
        <w:rPr>
          <w:sz w:val="24"/>
        </w:rPr>
      </w:pPr>
    </w:p>
    <w:p w14:paraId="205F1B7F">
      <w:pPr>
        <w:spacing w:line="360" w:lineRule="auto"/>
        <w:ind w:firstLine="480" w:firstLineChars="200"/>
        <w:rPr>
          <w:sz w:val="24"/>
        </w:rPr>
      </w:pPr>
      <w:r>
        <w:rPr>
          <w:sz w:val="24"/>
        </w:rPr>
        <w:t>为确保本项目在有限时间内集中资源解决关键问题、快速呈现可感知的业务价值，并建立持续演进的坚实基础，我们将严格贯彻“核心功能优先交付”的原则。这并非简单的功能堆砌，而是一套以价值交付为导向的、系统性的需求管理与开发决策框架。我们将超越招标文件的条目式清单，深度解构功能背后的业务意图，识别出支撑平台核心价值主张的“关键能力集”，并确保这些能力以最高的质量和可见度优先实现。</w:t>
      </w:r>
    </w:p>
    <w:p w14:paraId="7BAEAC54">
      <w:pPr>
        <w:spacing w:line="360" w:lineRule="auto"/>
        <w:rPr>
          <w:sz w:val="24"/>
        </w:rPr>
      </w:pPr>
    </w:p>
    <w:p w14:paraId="77160082">
      <w:pPr>
        <w:numPr>
          <w:ilvl w:val="3"/>
          <w:numId w:val="1"/>
        </w:numPr>
        <w:spacing w:line="360" w:lineRule="auto"/>
        <w:outlineLvl w:val="3"/>
        <w:rPr>
          <w:b/>
          <w:bCs/>
          <w:sz w:val="24"/>
        </w:rPr>
      </w:pPr>
      <w:bookmarkStart w:id="62" w:name="_Toc221113287"/>
      <w:r>
        <w:rPr>
          <w:b/>
          <w:bCs/>
          <w:sz w:val="24"/>
        </w:rPr>
        <w:t>基于业务价值与风险化解的价值功能识别与排序</w:t>
      </w:r>
      <w:bookmarkEnd w:id="62"/>
    </w:p>
    <w:p w14:paraId="221E6DF2">
      <w:pPr>
        <w:spacing w:line="360" w:lineRule="auto"/>
        <w:rPr>
          <w:sz w:val="24"/>
        </w:rPr>
      </w:pPr>
    </w:p>
    <w:p w14:paraId="046C93FE">
      <w:pPr>
        <w:spacing w:line="360" w:lineRule="auto"/>
        <w:ind w:firstLine="480" w:firstLineChars="200"/>
        <w:rPr>
          <w:sz w:val="24"/>
        </w:rPr>
      </w:pPr>
      <w:r>
        <w:rPr>
          <w:sz w:val="24"/>
        </w:rPr>
        <w:t>为确保本平台在有限时间内集中资源解决学校数字化转型的核心问题，并最大化项目交付价值，我们将在项目启动初期实施一套系统性的价值功能识别与排序机制。该机制不仅遵循敏捷开发中“价值优先”的核心原则，更结合“风险驱动设计”的理念，将技术实现复杂性、集成依赖性和业务紧迫性纳入统一考量框架，形成科学、可执行的优先级决策。</w:t>
      </w:r>
    </w:p>
    <w:p w14:paraId="547617CB">
      <w:pPr>
        <w:spacing w:line="360" w:lineRule="auto"/>
        <w:rPr>
          <w:sz w:val="24"/>
        </w:rPr>
      </w:pPr>
    </w:p>
    <w:p w14:paraId="517B9A24">
      <w:pPr>
        <w:spacing w:line="360" w:lineRule="auto"/>
        <w:ind w:firstLine="480" w:firstLineChars="200"/>
        <w:rPr>
          <w:sz w:val="24"/>
        </w:rPr>
      </w:pPr>
      <w:r>
        <w:rPr>
          <w:rFonts w:hint="eastAsia"/>
          <w:sz w:val="24"/>
        </w:rPr>
        <w:t>1.</w:t>
      </w:r>
      <w:r>
        <w:rPr>
          <w:sz w:val="24"/>
        </w:rPr>
        <w:t>深度工作坊：从需求条目到价值场景映射</w:t>
      </w:r>
    </w:p>
    <w:p w14:paraId="0DD5374A">
      <w:pPr>
        <w:spacing w:line="360" w:lineRule="auto"/>
        <w:ind w:firstLine="480" w:firstLineChars="200"/>
        <w:rPr>
          <w:sz w:val="24"/>
        </w:rPr>
      </w:pPr>
      <w:r>
        <w:rPr>
          <w:sz w:val="24"/>
        </w:rPr>
        <w:t>在项目启动后的需求深化阶段，我们将联合校方业务代表、信息技术专家及项目核心架构师，共同开展为期3-5天的“价值-功能-技术”三象限深度工作坊。工作坊的核心目标并非简单确认功能清单，而是将招标文件中的功能性要求，转化为具有明确业务上下文、可验证成果和清晰技术依赖关系的“价值场景”。工作坊首日，我们将引导各业务部门代表围绕已识别的三大核心痛点，提出最迫切的真实业务场景，例如专业负责人期望快速获取跨系统的人才培养质量分析报告，辅导员希望有工具自动分析学生行为数据以识别潜在风险，新教师需要一站式检索与课程相关的各类标准与案例。这些场景将被细化为包含角色、目标和验收标准的用户故事，形成《核心业务场景清单》。</w:t>
      </w:r>
    </w:p>
    <w:p w14:paraId="47B6CE0D">
      <w:pPr>
        <w:spacing w:line="360" w:lineRule="auto"/>
        <w:ind w:firstLine="480" w:firstLineChars="200"/>
        <w:rPr>
          <w:sz w:val="24"/>
        </w:rPr>
      </w:pPr>
    </w:p>
    <w:p w14:paraId="4B0B9D17">
      <w:pPr>
        <w:spacing w:line="360" w:lineRule="auto"/>
        <w:ind w:firstLine="480" w:firstLineChars="200"/>
        <w:rPr>
          <w:sz w:val="24"/>
        </w:rPr>
      </w:pPr>
      <w:r>
        <w:rPr>
          <w:sz w:val="24"/>
        </w:rPr>
        <w:t>随后，我们将进入技术映射阶段。针对每个核心业务场景，与架构师一同将其解构为平台需提供的具体“能力包”。以“专业人才培养质量多维分析报告”场景为例，它将被解构为稳定接入多源业务系统数据、构建“学生学业发展”主题域并进行可视化ETL开发、通过API暴露治理后的数据、集成数据分析模型与图表组件、以及提供低代码报告编排功能等一系列环环相扣的技术能力。在此过程中，我们将明确各能力包之间的技术依赖关系，例如数据治理依赖稳定的数据接入，报告生成依赖可用的数据服务和模型组件，并绘制出清晰的技术依赖关系图。同时，对于关键的技术接口，如与校本数据中心的老旧系统对接，我们将在此阶段即明确技术对接方案，例如采用基于Apache SeaTunnel定制开发连接器与增量日志解析相结合的方式，并定义接口契约采用OpenAPI 3.0规范，确保双方对数据格式、调用方式及异常处理达成一致，提前化解集成风险。工作坊的最终产出是《核心业务场景与平台能力映射矩阵》与《技术依赖关系图》，为后续的量化评估奠定坚实基础。</w:t>
      </w:r>
    </w:p>
    <w:p w14:paraId="1796696E">
      <w:pPr>
        <w:spacing w:line="360" w:lineRule="auto"/>
        <w:ind w:firstLine="480" w:firstLineChars="200"/>
        <w:rPr>
          <w:sz w:val="24"/>
        </w:rPr>
      </w:pPr>
    </w:p>
    <w:p w14:paraId="00574DEC">
      <w:pPr>
        <w:spacing w:line="360" w:lineRule="auto"/>
        <w:ind w:firstLine="480" w:firstLineChars="200"/>
        <w:rPr>
          <w:sz w:val="24"/>
        </w:rPr>
      </w:pPr>
      <w:r>
        <w:rPr>
          <w:rFonts w:hint="eastAsia"/>
          <w:sz w:val="24"/>
        </w:rPr>
        <w:t>2.</w:t>
      </w:r>
      <w:r>
        <w:rPr>
          <w:sz w:val="24"/>
        </w:rPr>
        <w:t>量化评估与优先级排序</w:t>
      </w:r>
    </w:p>
    <w:p w14:paraId="3055099D">
      <w:pPr>
        <w:spacing w:line="360" w:lineRule="auto"/>
        <w:ind w:firstLine="480" w:firstLineChars="200"/>
        <w:rPr>
          <w:sz w:val="24"/>
        </w:rPr>
      </w:pPr>
      <w:r>
        <w:rPr>
          <w:sz w:val="24"/>
        </w:rPr>
        <w:t>在完成场景与能力的映射后，我们将采用改进的加权最短作业优先模型对识别出的所有“能力包”进行科学的量化评估与排序。我们将设立业务价值、风险化解度、时间紧迫性和实现复杂度四个评估维度，并赋予相应权重。业务价值维度由校方业务代表评分，重点考量该能力对学校战略目标的支持程度、影响的用户广度及解决痛点的迫切性。风险化解度由技术架构师评估，重点关注该能力的实现能否提前验证如异构数据融合、大模型性能调优等关键技术路径，或消除项目后期的主要集成风险。时间紧迫性则考虑外部 deadline或对其他能力的强依赖。实现复杂度基于初步工作量估算。每个能力包将根据公式计算出一个WSJF分数，分数越高代表其业务价值与风险紧迫性越高，同时实现成本相对可控，优先级也就越高。通过此量化过程，我们将能力包清晰界定为三个梯队：P0级是必须优先实现的基石能力，如核心系统数据接入与基础安全框架，它们价值高、风险大，是项目成功的前提；P1级是应尽快开展的核心赋能能力，如低代码工作流引擎和知识库检索，它们业务价值显著且开发周期较长；P2级则是可在核心链路畅通后增量交付的增强功能或高级特性。这份《平台能力包优先级排序清单》将成为指导后续迭代开发计划的权威依据。</w:t>
      </w:r>
    </w:p>
    <w:p w14:paraId="495E8C53">
      <w:pPr>
        <w:spacing w:line="360" w:lineRule="auto"/>
        <w:ind w:firstLine="480" w:firstLineChars="200"/>
        <w:rPr>
          <w:sz w:val="24"/>
        </w:rPr>
      </w:pPr>
    </w:p>
    <w:p w14:paraId="4B3A2E88">
      <w:pPr>
        <w:spacing w:line="360" w:lineRule="auto"/>
        <w:ind w:firstLine="480" w:firstLineChars="200"/>
        <w:rPr>
          <w:sz w:val="24"/>
        </w:rPr>
      </w:pPr>
      <w:r>
        <w:rPr>
          <w:rFonts w:hint="eastAsia"/>
          <w:sz w:val="24"/>
        </w:rPr>
        <w:t>3.</w:t>
      </w:r>
      <w:r>
        <w:rPr>
          <w:sz w:val="24"/>
        </w:rPr>
        <w:t>优先级决策与“完成的定义”</w:t>
      </w:r>
    </w:p>
    <w:p w14:paraId="12180435">
      <w:pPr>
        <w:spacing w:line="360" w:lineRule="auto"/>
        <w:ind w:firstLine="480" w:firstLineChars="200"/>
        <w:rPr>
          <w:sz w:val="24"/>
        </w:rPr>
      </w:pPr>
      <w:r>
        <w:rPr>
          <w:sz w:val="24"/>
        </w:rPr>
        <w:t>基于量化排序结果，我们将与校方联合项目领导小组共同进行最终优先级决策，并为每个高优先级能力包共同制定明确的“完成的定义”。这份DoD是确保交付物高质量且符合业务期望的关键契约，它是一份多维度的验收标准清单，超越了简单的功能可用性。例如，对于“学生画像主题数据API服务”这一P0级能力包，其DoD将明确规定：在功能完整性上，API必须支持按多种维度组合查询至少10个关键字段；在性能指标上，95%的请求响应时间需低于200毫秒并能支撑100 QPS的并发；在安全要求上，必须集成统一身份认证并实现行级数据权限过滤；在非功能性要求上，需提供完整的OpenAPI 3.0接口文档并接入监控系统。为确保验收的客观性，我们将为关键能力包创建专用的验收测试环境与数据集，例如校方代表提供独立的预览环境，其中包含经脱敏处理的真实业务数据样本，用于验证数据查询的准确性与报表生成的性能。最终，只有当一项能力包的所有DoD条款均被满足，并由双方签字确认后，它才被视为真正“完成”，从而确保我们优先交付的不仅是可运行的代码，更是经过充分验证、可直接支撑业务决策的“高质量业务能力”。这套从场景映射、量化排序到精确定义的完整流程，构成了我们“核心功能优先交付”原则的坚实保障，确保项目资源始终聚焦于价值最高、风险最关键的领域。</w:t>
      </w:r>
    </w:p>
    <w:p w14:paraId="3E660ED7">
      <w:pPr>
        <w:spacing w:line="360" w:lineRule="auto"/>
        <w:rPr>
          <w:sz w:val="24"/>
        </w:rPr>
      </w:pPr>
    </w:p>
    <w:p w14:paraId="6C5420AD">
      <w:pPr>
        <w:numPr>
          <w:ilvl w:val="3"/>
          <w:numId w:val="1"/>
        </w:numPr>
        <w:spacing w:line="360" w:lineRule="auto"/>
        <w:outlineLvl w:val="3"/>
        <w:rPr>
          <w:b/>
          <w:bCs/>
          <w:sz w:val="24"/>
        </w:rPr>
      </w:pPr>
      <w:bookmarkStart w:id="63" w:name="_Toc221113288"/>
      <w:r>
        <w:rPr>
          <w:b/>
          <w:bCs/>
          <w:sz w:val="24"/>
        </w:rPr>
        <w:t>以快速验证为导向的最小可行产品（MVP）迭代路径</w:t>
      </w:r>
      <w:bookmarkEnd w:id="63"/>
    </w:p>
    <w:p w14:paraId="72766D21">
      <w:pPr>
        <w:spacing w:line="360" w:lineRule="auto"/>
        <w:rPr>
          <w:sz w:val="24"/>
        </w:rPr>
      </w:pPr>
    </w:p>
    <w:p w14:paraId="44457490">
      <w:pPr>
        <w:spacing w:line="360" w:lineRule="auto"/>
        <w:ind w:firstLine="480" w:firstLineChars="200"/>
        <w:rPr>
          <w:sz w:val="24"/>
        </w:rPr>
      </w:pPr>
      <w:r>
        <w:rPr>
          <w:sz w:val="24"/>
        </w:rPr>
        <w:t>我们将在项目初期交付一个精心设计的“最小可行平台”。这个MVP不是功能的简化版，而是一个架构完整、端到端打通的、具备核心价值验证能力的最小业务闭环。我们将选定“新生入学数据分析问答”作为MVP的验证场景，该场景将串联起从校本数据中心抽取新生数据、进行简单的数据清洗与标签计算、存入平台数据主题、关联相关政策知识库，最终通过一个初步的“AI问数”界面，让用户能以自然语言查询“今年某省份新生人数及男女比例”并获取可视化图表。</w:t>
      </w:r>
    </w:p>
    <w:p w14:paraId="37958F9B">
      <w:pPr>
        <w:spacing w:line="360" w:lineRule="auto"/>
        <w:ind w:firstLine="480" w:firstLineChars="200"/>
        <w:rPr>
          <w:sz w:val="24"/>
        </w:rPr>
      </w:pPr>
    </w:p>
    <w:p w14:paraId="7FB2F83C">
      <w:pPr>
        <w:spacing w:line="360" w:lineRule="auto"/>
        <w:ind w:firstLine="480" w:firstLineChars="200"/>
        <w:rPr>
          <w:sz w:val="24"/>
        </w:rPr>
      </w:pPr>
      <w:r>
        <w:rPr>
          <w:sz w:val="24"/>
        </w:rPr>
        <w:t>通过这个具体场景的快速实现，我们能在项目极早期就从技术和业务两个层面获得关键反馈：技术上验证数据接入管道、平台基础架构、AI引擎调用、前后端联调的全链路可行性，提前暴露集成技术风险；业务上则让校方代表在两周内就看到数据如何“活”起来，亲身感受从“提数据需求给信息中心”到“自主提问即时获取”的模式转变，从而建立对项目成功的信心，并为后续功能需求提供最直接的输入。MVP的成功交付将成为项目后续发展的“定心丸”和“指南针”，基于验证的技术路径和收集的用户反馈，我们将滚动式地规划后续迭代，采用“场景驱动，能力迭代增强”的模式，确保平台的每一次功能增长都直接响应已验证的业务价值。</w:t>
      </w:r>
    </w:p>
    <w:p w14:paraId="0FEA0837">
      <w:pPr>
        <w:spacing w:line="360" w:lineRule="auto"/>
        <w:rPr>
          <w:sz w:val="24"/>
        </w:rPr>
      </w:pPr>
    </w:p>
    <w:p w14:paraId="2049E78C">
      <w:pPr>
        <w:numPr>
          <w:ilvl w:val="3"/>
          <w:numId w:val="1"/>
        </w:numPr>
        <w:spacing w:line="360" w:lineRule="auto"/>
        <w:outlineLvl w:val="3"/>
        <w:rPr>
          <w:b/>
          <w:bCs/>
          <w:sz w:val="24"/>
        </w:rPr>
      </w:pPr>
      <w:bookmarkStart w:id="64" w:name="_Toc221113289"/>
      <w:r>
        <w:rPr>
          <w:b/>
          <w:bCs/>
          <w:sz w:val="24"/>
        </w:rPr>
        <w:t>以演示成果为锚点的演示驱动开发</w:t>
      </w:r>
      <w:bookmarkEnd w:id="64"/>
    </w:p>
    <w:p w14:paraId="4E4496DD">
      <w:pPr>
        <w:spacing w:line="360" w:lineRule="auto"/>
        <w:rPr>
          <w:sz w:val="24"/>
        </w:rPr>
      </w:pPr>
    </w:p>
    <w:p w14:paraId="385C6E2F">
      <w:pPr>
        <w:spacing w:line="360" w:lineRule="auto"/>
        <w:ind w:firstLine="480" w:firstLineChars="200"/>
        <w:rPr>
          <w:sz w:val="24"/>
        </w:rPr>
      </w:pPr>
      <w:r>
        <w:rPr>
          <w:sz w:val="24"/>
        </w:rPr>
        <w:t>我们将招标文件中明确的演示要求，不仅视为最终验收的环节，更将其提升为贯穿整个开发过程的核心设计约束与验收锚点。这要求我们从项目开始就以“如何完美演示”来倒推开发计划、设计技术方案和组织资源。针对“AI问数-岗位能力图谱查询”这一关键演示场景，我们将组织专项分析会，将其解构为一系列必须完成的技术与数据任务，包括产业人才需求数据的采集清洗与图谱构建、知识库模块的检索能力优化、“AI问数”应用对复杂查询的解析与报告生成能力，以及全部数据接口和服务必须达到的生产级稳定性要求。</w:t>
      </w:r>
      <w:r>
        <w:rPr>
          <w:rFonts w:hint="eastAsia"/>
          <w:sz w:val="24"/>
        </w:rPr>
        <w:t>图31所示为岗位能力图谱功能界面。</w:t>
      </w:r>
    </w:p>
    <w:p w14:paraId="4CFBC901">
      <w:pPr>
        <w:spacing w:line="360" w:lineRule="auto"/>
        <w:ind w:firstLine="480" w:firstLineChars="200"/>
        <w:rPr>
          <w:sz w:val="24"/>
        </w:rPr>
      </w:pPr>
    </w:p>
    <w:p w14:paraId="2B0B54BC">
      <w:pPr>
        <w:spacing w:line="360" w:lineRule="auto"/>
        <w:jc w:val="center"/>
        <w:rPr>
          <w:b/>
          <w:bCs/>
        </w:rPr>
      </w:pPr>
      <w:r>
        <w:rPr>
          <w:sz w:val="24"/>
        </w:rPr>
        <w:drawing>
          <wp:anchor distT="0" distB="0" distL="114300" distR="114300" simplePos="0" relativeHeight="251670528" behindDoc="0" locked="0" layoutInCell="1" allowOverlap="1">
            <wp:simplePos x="0" y="0"/>
            <wp:positionH relativeFrom="column">
              <wp:posOffset>-387350</wp:posOffset>
            </wp:positionH>
            <wp:positionV relativeFrom="paragraph">
              <wp:posOffset>172085</wp:posOffset>
            </wp:positionV>
            <wp:extent cx="5979795" cy="3001645"/>
            <wp:effectExtent l="0" t="0" r="1905" b="8255"/>
            <wp:wrapSquare wrapText="bothSides"/>
            <wp:docPr id="28" name="图片 28" descr="岗位能力图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岗位能力图谱"/>
                    <pic:cNvPicPr>
                      <a:picLocks noChangeAspect="1"/>
                    </pic:cNvPicPr>
                  </pic:nvPicPr>
                  <pic:blipFill>
                    <a:blip r:embed="rId35" cstate="print">
                      <a:extLst>
                        <a:ext uri="{28A0092B-C50C-407E-A947-70E740481C1C}">
                          <a14:useLocalDpi xmlns:a14="http://schemas.microsoft.com/office/drawing/2010/main" val="0"/>
                        </a:ext>
                      </a:extLst>
                    </a:blip>
                    <a:srcRect t="7190"/>
                    <a:stretch>
                      <a:fillRect/>
                    </a:stretch>
                  </pic:blipFill>
                  <pic:spPr>
                    <a:xfrm>
                      <a:off x="0" y="0"/>
                      <a:ext cx="5979795" cy="3001645"/>
                    </a:xfrm>
                    <a:prstGeom prst="rect">
                      <a:avLst/>
                    </a:prstGeom>
                    <a:ln>
                      <a:noFill/>
                    </a:ln>
                  </pic:spPr>
                </pic:pic>
              </a:graphicData>
            </a:graphic>
          </wp:anchor>
        </w:drawing>
      </w:r>
      <w:r>
        <w:rPr>
          <w:rFonts w:hint="eastAsia"/>
          <w:b/>
          <w:bCs/>
        </w:rPr>
        <w:t>图31 岗位能力图谱功能界面</w:t>
      </w:r>
    </w:p>
    <w:p w14:paraId="6CBE71DB">
      <w:pPr>
        <w:spacing w:line="360" w:lineRule="auto"/>
        <w:ind w:firstLine="480" w:firstLineChars="200"/>
        <w:rPr>
          <w:sz w:val="24"/>
        </w:rPr>
      </w:pPr>
      <w:r>
        <w:rPr>
          <w:sz w:val="24"/>
        </w:rPr>
        <w:t>我们将项目计划中的关键里程碑与演示准备紧密结合，在项目中期举行第一次内部全流程预演，严格模拟正式演示的全部步骤。这次预演的目的不是展示完美效果，而是主动暴露所有断点、瓶颈和体验瑕疵，例如数据关联不准确、查询响应慢、图表不直观等问题。所发现的这些问题将成为接下来2-3周内最高优先级的攻关任务，确保所有短板在最终演示前得到彻底修补。同时，我们将协助校方共同设计演示剧本，将技术功能融入一个生动的、有故事线的业务决策场景中，从演示脚本、测试数据准备到话术设计都进行精心规划和反复排练，确保最终演示能够清晰、有力、令人信服地展现平台的核心价值与业务影响力。</w:t>
      </w:r>
    </w:p>
    <w:p w14:paraId="6122DC49">
      <w:pPr>
        <w:spacing w:line="360" w:lineRule="auto"/>
        <w:rPr>
          <w:sz w:val="24"/>
        </w:rPr>
      </w:pPr>
    </w:p>
    <w:p w14:paraId="1169D4EF">
      <w:pPr>
        <w:numPr>
          <w:ilvl w:val="2"/>
          <w:numId w:val="1"/>
        </w:numPr>
        <w:spacing w:line="360" w:lineRule="auto"/>
        <w:outlineLvl w:val="2"/>
        <w:rPr>
          <w:b/>
          <w:bCs/>
          <w:sz w:val="28"/>
          <w:szCs w:val="28"/>
        </w:rPr>
      </w:pPr>
      <w:bookmarkStart w:id="65" w:name="_Toc221113290"/>
      <w:r>
        <w:rPr>
          <w:b/>
          <w:bCs/>
          <w:sz w:val="28"/>
          <w:szCs w:val="28"/>
        </w:rPr>
        <w:t>风险前置管理原则</w:t>
      </w:r>
      <w:bookmarkEnd w:id="65"/>
    </w:p>
    <w:p w14:paraId="241A8455">
      <w:pPr>
        <w:spacing w:line="360" w:lineRule="auto"/>
        <w:rPr>
          <w:sz w:val="24"/>
        </w:rPr>
      </w:pPr>
    </w:p>
    <w:p w14:paraId="28536A80">
      <w:pPr>
        <w:spacing w:line="360" w:lineRule="auto"/>
        <w:ind w:firstLine="480" w:firstLineChars="200"/>
        <w:rPr>
          <w:sz w:val="24"/>
        </w:rPr>
      </w:pPr>
      <w:r>
        <w:rPr>
          <w:sz w:val="24"/>
        </w:rPr>
        <w:t>我们深知，项目的最大风险往往源于早期未被充分识别或低估的不确定性。为此，我们将贯彻“风险前置管理”的核心原则，系统性地将风险管理活动从传统的被动应对，转变为贯穿项目始终、尤其是聚焦于项目初期的主动预防与早期化解。我们将建立一个结构化的风险识别、评估、应对和监控流程，旨在项目早期即最大程度地消除不确定性，为后续开发工作铺平道路，确保项目航向稳定、资源投入高效。</w:t>
      </w:r>
    </w:p>
    <w:p w14:paraId="23297E21">
      <w:pPr>
        <w:spacing w:line="360" w:lineRule="auto"/>
        <w:rPr>
          <w:sz w:val="24"/>
        </w:rPr>
      </w:pPr>
    </w:p>
    <w:p w14:paraId="09D8725C">
      <w:pPr>
        <w:numPr>
          <w:ilvl w:val="3"/>
          <w:numId w:val="1"/>
        </w:numPr>
        <w:spacing w:line="360" w:lineRule="auto"/>
        <w:outlineLvl w:val="3"/>
        <w:rPr>
          <w:b/>
          <w:bCs/>
          <w:sz w:val="24"/>
        </w:rPr>
      </w:pPr>
      <w:bookmarkStart w:id="66" w:name="_Toc221113291"/>
      <w:r>
        <w:rPr>
          <w:b/>
          <w:bCs/>
          <w:sz w:val="24"/>
        </w:rPr>
        <w:t>需求风险的系统性管控</w:t>
      </w:r>
      <w:bookmarkEnd w:id="66"/>
    </w:p>
    <w:p w14:paraId="4FA7FA01">
      <w:pPr>
        <w:spacing w:line="360" w:lineRule="auto"/>
        <w:rPr>
          <w:sz w:val="24"/>
        </w:rPr>
      </w:pPr>
    </w:p>
    <w:p w14:paraId="7A2ED63F">
      <w:pPr>
        <w:spacing w:line="360" w:lineRule="auto"/>
        <w:ind w:firstLine="480" w:firstLineChars="200"/>
        <w:rPr>
          <w:sz w:val="24"/>
        </w:rPr>
      </w:pPr>
      <w:r>
        <w:rPr>
          <w:sz w:val="24"/>
        </w:rPr>
        <w:t>需求理解的偏差与后续无序变更，是导致项目延期、成本超支和成果不符的最常见风险。为从根本上管控此风险，我们将在项目启动后的“需求深化阶段”投入重兵，采用一套结合敏捷协作方法与结构化工程实践的系统性流程，确保需求从理解、确认到管理的全链路清晰、可追溯、可验证。该阶段绝非简单的需求确认会议，而是一个为期10个工作日、深度融合业务研讨与技术验证的深度协作过程。我们将与校方的业务代表、信息技术专家共同拆解每一条功能需求背后的业务场景、用户期望与价值目标，并通过快速构建可交互的界面原型、数据模型与核心流程沙盘，将抽象的需求转化为可视、可感、可讨论、可验证的具体形态，确保双方对“完成”的定义达成精确、一致的共识。</w:t>
      </w:r>
    </w:p>
    <w:p w14:paraId="71DE1F93">
      <w:pPr>
        <w:spacing w:line="360" w:lineRule="auto"/>
        <w:ind w:firstLine="480" w:firstLineChars="200"/>
        <w:rPr>
          <w:sz w:val="24"/>
        </w:rPr>
      </w:pPr>
    </w:p>
    <w:p w14:paraId="716E51CC">
      <w:pPr>
        <w:spacing w:line="360" w:lineRule="auto"/>
        <w:ind w:firstLine="480" w:firstLineChars="200"/>
        <w:rPr>
          <w:sz w:val="24"/>
        </w:rPr>
      </w:pPr>
      <w:r>
        <w:rPr>
          <w:sz w:val="24"/>
        </w:rPr>
        <w:t>在项目启动后的前3个工作日，我们将组织由双方业务专家、技术骨干参与的“需求深度解析工作坊”。工作坊采用“用户故事映射”与“事件风暴”相结合的方法，围绕招标文件中的功能点逐项展开。针对如“AI问数”应用，我们不仅确认其查询功能，更会深入探讨典型用户（如专业负责人、辅导员）在何种具体业务情境下使用该功能、需要关联哪些内部数据源（如教务系统的成绩数据、实训管理系统的操作记录、就业服务系统的签约信息）以及外部数据服务（如产业人才图谱），并明确期望的输出形式（例如是生成一份融合图表与文本解读的可视化分析报告，还是输出结构化的预警列表）及其性能要求（例如在跨三个业务系统的复杂关联查询场景下，系统响应时间需稳定在5秒以内）。同时，针对“与校本数据中心深度集成”这类高风险、高复杂度的需求，技术团队将同步启动技术预研。双方技术人员将基于预先交换的系统接口文档或数据库字典，在独立构建的沙箱环境中，快速验证数据抽取的可行性，例如使用Apache SeaTunnel的MySQL或Oracle连接器测试增量数据同步机制，检查数据格式转换（如字符集统一、时间戳标准化）的具体逻辑，并初步评估源数据的质量状况（如关键字段的空值率、编码枚举值的一致性）。在此过程中发现的所有技术约束、潜在瓶颈及假设条件都会被详细记录，形成《技术可行性预评估报告》，作为后续详细设计的重要输入。为确保需求的验收有据可依，我们将共同为每个核心需求定义量化的、可测试的成功标准。以“知识库管理模块”为例，其验收标准将远超“支持上传PDF/Word文档”的简单描述，而是具体明确为：系统需能处理单个200页的PDF文件，并在60秒内完成从文档解析（提取文本与元数据）、智能分块（依据语义段落）、到文本向量化（使用BGE等Embedding模型）并存入Milvus向量数据库的全流程；且对于用户的语义查询，系统需在5秒内返回检索结果，其中前3条结果的相关度相似性评分需高于0.8。</w:t>
      </w:r>
    </w:p>
    <w:p w14:paraId="3044E1A4">
      <w:pPr>
        <w:spacing w:line="360" w:lineRule="auto"/>
        <w:ind w:firstLine="480" w:firstLineChars="200"/>
        <w:rPr>
          <w:sz w:val="24"/>
        </w:rPr>
      </w:pPr>
    </w:p>
    <w:p w14:paraId="5D912505">
      <w:pPr>
        <w:spacing w:line="360" w:lineRule="auto"/>
        <w:ind w:firstLine="480" w:firstLineChars="200"/>
        <w:rPr>
          <w:sz w:val="24"/>
        </w:rPr>
      </w:pPr>
      <w:r>
        <w:rPr>
          <w:sz w:val="24"/>
        </w:rPr>
        <w:t>为将文字描述和业务场景转化为所有干系人均可直观体验的实体，我们将在工作坊结束后投入3个工作日进行快速原型构建与可视化验证。利用低代码原型设计工具与前端技术栈，快速构建关键功能的高保真可交互原型。例如，针对“低代码AI应用开发环境”，原型将真实模拟工作流设计器的操作界面，展示用户如何从组件面板拖拽“数据查询”、“模型调用”、“条件判断”等节点至画布，并配置节点的具体参数——数据查询节点中内嵌的SQL编辑器将具备语法高亮和智能补全功能，模型调用节点则提供预设参数的下拉选择与自定义输入框。原型还将演示工作流的运行与调试视图，展示数据在节点间的流动状态与中间结果，让业务人员和技术管理者在开发开始前就能切身感受未来构建AI应用的完整流程。对于“平台统一监控仪表盘”，原型将利用模拟数据动态展示各微服务实例的健康状态（红绿指示灯）、API调用链的拓扑关系图、以及实时吞吐量与延迟分布的热力图，并支持用户进行下钻分析、按时间范围筛选等交互操作。所有原型都将部署在安全的内部演示环境中，并生成访问链接供校方代表随时体验。我们将同步建立一份在线的《原型反馈收集表》，结构化地记录每一条关于界面布局、操作流程、信息展示的修改建议、使用中遇到的困惑以及衍生出的新功能期望，确保所有反馈可追溯、不丢失，并作为迭代优化设计的重要依据。</w:t>
      </w:r>
    </w:p>
    <w:p w14:paraId="244625DB">
      <w:pPr>
        <w:spacing w:line="360" w:lineRule="auto"/>
        <w:ind w:firstLine="480" w:firstLineChars="200"/>
        <w:rPr>
          <w:sz w:val="24"/>
        </w:rPr>
      </w:pPr>
    </w:p>
    <w:p w14:paraId="322711C2">
      <w:pPr>
        <w:spacing w:line="360" w:lineRule="auto"/>
        <w:ind w:firstLine="480" w:firstLineChars="200"/>
        <w:rPr>
          <w:sz w:val="24"/>
        </w:rPr>
      </w:pPr>
      <w:r>
        <w:rPr>
          <w:sz w:val="24"/>
        </w:rPr>
        <w:t>需求深化阶段的核心产出，是一份由双方签字确认的《详细需求规格说明书》与与之配套的《需求跟踪矩阵》。这份说明书将采用结构化、条目化的方式进行管理，超越传统文本文档。每个业务需求都会被拆解为具有唯一“需求ID”的独立条目，并与招标文件条款、对应的用户故事、具体的业务场景以及受影响的系统模块建立清晰的映射关系。在技术规格层面，针对每一个功能点，说明书会明确其前后端接口规范（严格遵循OpenAPI 3.0标准定义请求响应格式）、数据模型定义（使用JSON Schema描述数据结构）、安全与权限控制要求（细化到RBAC角色与数据行级的访问规则）、以及非功能性指标（如系统需支持50个专业负责人同时进行复杂数据查询，P95响应时间不超过3秒，核心服务可用性不低于99.5%）。为实现需求的全生命周期跟踪，我们将在Jira等项目管理系统内建立数字化的需求跟踪矩阵，将每个“需求ID”与后续产生的设计文档、开发任务代码、自动化测试用例以及最终的验证结果进行自动关联。这使得需求的实现状态、测试覆盖率、以及任何变更历史都可以实时查询与审计，确保了需求管理过程的透明性与严谨性。此份需求基线将在项目启动后第10个工作日由双方联合评审后正式“冻结”，并纳入Git等配置管理库进行严格的版本控制，作为后续所有开发、测试和验收活动的唯一基准。</w:t>
      </w:r>
    </w:p>
    <w:p w14:paraId="1FE11918">
      <w:pPr>
        <w:spacing w:line="360" w:lineRule="auto"/>
        <w:ind w:firstLine="480" w:firstLineChars="200"/>
        <w:rPr>
          <w:sz w:val="24"/>
        </w:rPr>
      </w:pPr>
    </w:p>
    <w:p w14:paraId="198C6A7D">
      <w:pPr>
        <w:spacing w:line="360" w:lineRule="auto"/>
        <w:ind w:firstLine="480" w:firstLineChars="200"/>
        <w:rPr>
          <w:sz w:val="24"/>
        </w:rPr>
      </w:pPr>
      <w:r>
        <w:rPr>
          <w:sz w:val="24"/>
        </w:rPr>
        <w:t>为有效杜绝项目范围在基线冻结后的无序蔓延，我们建立了正式的变更控制流程。任何后续提出的需求变更，无论来源于业务部门的新想法还是技术调整的必要性，都必须提交书面的《变更请求表》。该表格需详细阐述变更的业务背景与价值、具体变更内容描述以及对现有功能的影响。收到变更请求后，由双方代表组成的变更控制委员会将在2个工作日内启动全面的影响分析。技术负责人将牵头进行技术影响评估，分析变更对现有系统架构、已定义的接口契约、核心数据模型以及第三方依赖的冲击，并评估所需的开发工作量、潜在的技术风险及需要执行的回归测试范围。项目经理则同步进行项目影响评估，利用项目管理工具重新计算项目关键路径，量化评估此次变更对整体项目进度、团队成员资源分配以及项目预算的影响。在CCB评审会议上，基于两份评估报告进行集体决策，做出批准、否决或要求修改后重新提交的决定。所有被批准的变更，都会同步更新受影响的基线文档（包括需求规格说明书、设计文档等）和项目计划，并通知所有相关的开发、测试团队成员。整个变更流程中产生的所有请求、评审记录、决策依据及执行痕迹都会完整保留在系统日志中，形成一条不可篡改的需求变更审计链，保障项目在可控范围内演进。通过上述这一套从深度协同解析、到可视化验证、再到基线化结构化管理和严格变更控制的全方位、技术驱动的需求风险管理机制，我们不仅致力于在项目初期最大限度地消除歧义、对齐业务与技术视角的期望，更构建了一个能够持续、有效管理需求演化过程的管理框架。这为项目在60个日历日的紧凑工期内，确保交付范围清晰、质量受控、成果高度符合预期，奠定了最为坚实和可靠的基础。</w:t>
      </w:r>
    </w:p>
    <w:p w14:paraId="3ADDFCCD">
      <w:pPr>
        <w:spacing w:line="360" w:lineRule="auto"/>
        <w:rPr>
          <w:sz w:val="24"/>
        </w:rPr>
      </w:pPr>
    </w:p>
    <w:p w14:paraId="71381192">
      <w:pPr>
        <w:numPr>
          <w:ilvl w:val="3"/>
          <w:numId w:val="1"/>
        </w:numPr>
        <w:spacing w:line="360" w:lineRule="auto"/>
        <w:outlineLvl w:val="3"/>
        <w:rPr>
          <w:b/>
          <w:bCs/>
          <w:sz w:val="24"/>
        </w:rPr>
      </w:pPr>
      <w:bookmarkStart w:id="67" w:name="_Toc221113292"/>
      <w:r>
        <w:rPr>
          <w:b/>
          <w:bCs/>
          <w:sz w:val="24"/>
        </w:rPr>
        <w:t>技术环境与集成风险的早期破解</w:t>
      </w:r>
      <w:bookmarkEnd w:id="67"/>
    </w:p>
    <w:p w14:paraId="0F070AB9">
      <w:pPr>
        <w:spacing w:line="360" w:lineRule="auto"/>
        <w:rPr>
          <w:sz w:val="24"/>
        </w:rPr>
      </w:pPr>
    </w:p>
    <w:p w14:paraId="1C331847">
      <w:pPr>
        <w:spacing w:line="360" w:lineRule="auto"/>
        <w:ind w:firstLine="480" w:firstLineChars="200"/>
        <w:rPr>
          <w:sz w:val="24"/>
        </w:rPr>
      </w:pPr>
      <w:r>
        <w:rPr>
          <w:sz w:val="24"/>
        </w:rPr>
        <w:t>技术环境的不匹配与系统集成的复杂性，是项目执行的潜在“暗礁”，其风险一旦在项目后期爆发，将可能导致工期严重延误、交付质量下降甚至系统无法正常运行。为彻底规避此类风险，我们将采取“评估前置、验证先行、规范共建”的主动策略，在项目启动后立即并行启动技术环境的深度评估与核心集成的技术可行性验证，确保所有潜在障碍在项目初期即被识别并化解。</w:t>
      </w:r>
    </w:p>
    <w:p w14:paraId="6F3710B1">
      <w:pPr>
        <w:spacing w:line="360" w:lineRule="auto"/>
        <w:ind w:firstLine="480" w:firstLineChars="200"/>
        <w:rPr>
          <w:sz w:val="24"/>
        </w:rPr>
      </w:pPr>
    </w:p>
    <w:p w14:paraId="2E883948">
      <w:pPr>
        <w:spacing w:line="360" w:lineRule="auto"/>
        <w:ind w:firstLine="480" w:firstLineChars="200"/>
        <w:rPr>
          <w:sz w:val="24"/>
        </w:rPr>
      </w:pPr>
      <w:r>
        <w:rPr>
          <w:sz w:val="24"/>
        </w:rPr>
        <w:t>我方技术团队将与校方信息中心共同组建“技术环境联合评估小组”，在项目启动后第一周内，对目标部署环境展开多维度、精细化的评估。评估工作将全面覆盖基础设施与资源、安全策略及系统依赖等多个方面。在基础设施与资源评估中，我们将详细核查计划用于部署的服务器（物理机、虚拟机或云主机）的CPU型号与核心数、内存容量与频率、以及本地存储的IOPS与吞吐能力，并特别关注是否配备特定型号的GPU及相应的CUDA驱动以支撑大模型推理，或评估通过PCIe Passthrough等方式进行虚拟化GPU资源分配的可行性。同时，我们将绘制并分析生产环境的网络架构图，明确平台服务器所在的VLAN或子网、防火墙策略与负载均衡配置，评估网络带宽、延迟及与校本数据中心等关键区域之间跨区通信的稳定性与安全策略，确保其满足微服务间低延迟高吞吐通信以及对外提供API服务的要求。我们还将评估用于部署数据库、对象存储等有状态服务的存储系统性能，包括块存储（如SAN或云盘）的IOPS、吞吐量和延迟，以及对象存储（如MinIO集群）的并发读写能力和数据一致性保证。此外，核查操作系统版本、内核版本、系统库（如glibc）版本及NTP、DNS等基础服务的配置也是必要的环节，以确保其满足平台各容器镜像（基于特定基础镜像如Ubuntu 22.04）的运行要求。在安全策略对齐方面，我们将详细调研校方信息中心的网络安全基线策略，包括对外服务端口开放范围、入侵检测防御系统规则、Web应用防火墙策略以及数据出口过滤策略，并重点确认容器运行时及Kubernetes（K3s）控制平面与工作节点间通信所需端口是否已在防火墙白名单内，同时明确平台与校内统一身份认证系统等进行OAuth 2.0/OpenID Connect通信时，对双向HTTPS证书的要求及信任链配置方式。基于上述全面评估，联合小组将共同编制并签署《部署环境确认单》，该文档将作为后续环境准备工作的技术基准，明确列出已满足的条件、需校方配合完成的调整项（如开放特定端口、升级系统库、配置存储权限等）以及双方认可的环境配置参数（如K3s集群初始规模、Pod默认资源配额限制等）。</w:t>
      </w:r>
    </w:p>
    <w:p w14:paraId="3B0A570C">
      <w:pPr>
        <w:spacing w:line="360" w:lineRule="auto"/>
        <w:ind w:firstLine="480" w:firstLineChars="200"/>
        <w:rPr>
          <w:sz w:val="24"/>
        </w:rPr>
      </w:pPr>
    </w:p>
    <w:p w14:paraId="16BA43AD">
      <w:pPr>
        <w:spacing w:line="360" w:lineRule="auto"/>
        <w:ind w:firstLine="480" w:firstLineChars="200"/>
        <w:rPr>
          <w:sz w:val="24"/>
        </w:rPr>
      </w:pPr>
      <w:r>
        <w:rPr>
          <w:sz w:val="24"/>
        </w:rPr>
        <w:t>针对“与校本数据中心对接”这一高复杂、高风险的集成点，我们将在第一周环境评估的同时，即启动第二周的技术可行性验证（PoC）。此验证旨在以最小的代价、最快的时间暴露并解决核心集成技术问题。验证工作始于接口探查与协议分析，我方技术人员将与校方协作，获取待对接业务系统（如教务、学工系统）的技术接口文档，或通过授权工具对接口进行探查，分析数据源类型是关系型数据库、NoSQL数据库，还是通过Web Service、文件接口或消息队列提供数据，并确认具体的通信协议与认证方式。随后进行的小规模联调测试是关键环节，我们将使用平台选定的数据集成引擎（Apache SeaTunnel）的相应连接器插件，尝试建立与源系统的连接，验证网络可达性、端口开放情况及基础认证；在授权和脱敏前提下，抽取少量样本数据以分析其数据结构、编码格式、数据类型映射关系及是否存在特殊字段；同时执行简单的数据抽取操作，记录初始同步速度并观察对源系统负载的影响，初步评估性能与稳定性；此外，还会模拟网络闪断、源端表结构变更或数据异常等场景，测试连接器的容错与恢复机制。</w:t>
      </w:r>
    </w:p>
    <w:p w14:paraId="02C2EEEF">
      <w:pPr>
        <w:spacing w:line="360" w:lineRule="auto"/>
        <w:ind w:firstLine="480" w:firstLineChars="200"/>
        <w:rPr>
          <w:sz w:val="24"/>
        </w:rPr>
      </w:pPr>
    </w:p>
    <w:p w14:paraId="0B550B50">
      <w:pPr>
        <w:spacing w:line="360" w:lineRule="auto"/>
        <w:ind w:firstLine="480" w:firstLineChars="200"/>
        <w:rPr>
          <w:sz w:val="24"/>
        </w:rPr>
      </w:pPr>
      <w:r>
        <w:rPr>
          <w:sz w:val="24"/>
        </w:rPr>
        <w:t>基于PoC验证所获得的具体结果与认知，双方技术团队将共同制定详尽的《系统集成接口规范》与《联调测试方案》。《系统集成接口规范》将明确定义每个待对接系统的数据接口标准，包括具体的连接方式、认证凭证管理方案、数据抽取策略（如全量或基于时间戳、日志的增量同步）以及抽取频率与时间窗口；同时规定数据格式与映射规则，明确源端字段与平台数据湖（Iceberg表）之间的映射关系、数据类型转换规则、默认值处理及脏数据清洗规则；还将约定性能与容量指标，如期望的单次同步数据量、同步完成时间SLA以及允许的资源占用阈值；并确立异常处理与监控机制，包括同步失败的重试策略、告警触发条件以及双方协同排查的流程。配套制定的《联调测试方案》则将明确在开发、测试、生产各阶段进行集成联调的具体步骤、测试用例、数据准备要求及验收标准，为后续大规模、多系统的数据同步扫清技术障碍，确保集成工作能够有序、可控、低风险地推进，从而将此类传统项目中后期的“风险爆发点”彻底转化为项目前期的“确定性成果”，为整个平台项目的顺利实施与长期稳定运行奠定坚实可靠的基础。</w:t>
      </w:r>
    </w:p>
    <w:p w14:paraId="589FB04A">
      <w:pPr>
        <w:spacing w:line="360" w:lineRule="auto"/>
        <w:rPr>
          <w:sz w:val="24"/>
        </w:rPr>
      </w:pPr>
    </w:p>
    <w:p w14:paraId="013AE882">
      <w:pPr>
        <w:numPr>
          <w:ilvl w:val="3"/>
          <w:numId w:val="1"/>
        </w:numPr>
        <w:spacing w:line="360" w:lineRule="auto"/>
        <w:outlineLvl w:val="3"/>
        <w:rPr>
          <w:b/>
          <w:bCs/>
          <w:sz w:val="24"/>
        </w:rPr>
      </w:pPr>
      <w:bookmarkStart w:id="68" w:name="_Toc221113293"/>
      <w:r>
        <w:rPr>
          <w:b/>
          <w:bCs/>
          <w:sz w:val="24"/>
        </w:rPr>
        <w:t>数据质量与业务连续性的前瞻性保障</w:t>
      </w:r>
      <w:bookmarkEnd w:id="68"/>
    </w:p>
    <w:p w14:paraId="4BF6816B">
      <w:pPr>
        <w:spacing w:line="360" w:lineRule="auto"/>
        <w:rPr>
          <w:sz w:val="24"/>
        </w:rPr>
      </w:pPr>
    </w:p>
    <w:p w14:paraId="4ACFB692">
      <w:pPr>
        <w:spacing w:line="360" w:lineRule="auto"/>
        <w:ind w:firstLine="480" w:firstLineChars="200"/>
        <w:rPr>
          <w:sz w:val="24"/>
        </w:rPr>
      </w:pPr>
      <w:r>
        <w:rPr>
          <w:sz w:val="24"/>
        </w:rPr>
        <w:t>对于AI驱动型平台，数据质量直接决定智能应用的效能与可信度。我们认识到，原始业务数据中存在的缺失、不一致、非标准化等问题，若在开发后期甚至上线后才被发现，将导致严重的返工和信任危机。因此，我们将在数据对接的初期就介入数据质量评估。在获取样本数据后，我们将运用数据剖析工具和方法，生成详细的《初始数据质量评估报告》，量化分析数据的完整性、准确性、一致性和时效性问题。我们将与校方业务部门共同审视这些问题对目标业务场景的影响，并联合制定《数据清洗、转换与补全方案》，明确各方责任与处理时间表。通过将数据治理工作前移并使之成为开发前置条件，我们确保流入平台数据湖的是高质量、可信任的“燃料”，而非需要不断处理的“污染物”，从而保障上层智能应用能产生准确、可靠的洞察。</w:t>
      </w:r>
    </w:p>
    <w:p w14:paraId="1D9BD609">
      <w:pPr>
        <w:spacing w:line="360" w:lineRule="auto"/>
        <w:ind w:firstLine="480" w:firstLineChars="200"/>
        <w:rPr>
          <w:sz w:val="24"/>
        </w:rPr>
      </w:pPr>
    </w:p>
    <w:p w14:paraId="7E6EC652">
      <w:pPr>
        <w:spacing w:line="360" w:lineRule="auto"/>
        <w:ind w:firstLine="480" w:firstLineChars="200"/>
        <w:rPr>
          <w:sz w:val="24"/>
        </w:rPr>
      </w:pPr>
      <w:r>
        <w:rPr>
          <w:sz w:val="24"/>
        </w:rPr>
        <w:t>同时，为确保项目核心资源的稳定投入与项目的连续性，我们实行关键角色AB角制度，为项目经理、解决方案架构师等核心岗位以及校方关键业务接口人指定备份人员，确保在突发情况下工作无缝衔接。对于项目依赖的关键软硬件资源，我们将在项目计划中明确采购与准备周期，提前启动相关流程，杜绝因资源等待而导致的项目停滞。通过对“人”与“物”两类关键资源的超前规划与保障，我们将项目执行过程中的运营性风险降至最低。</w:t>
      </w:r>
    </w:p>
    <w:p w14:paraId="7ABB3AAF">
      <w:pPr>
        <w:spacing w:line="360" w:lineRule="auto"/>
        <w:ind w:firstLine="480" w:firstLineChars="200"/>
        <w:rPr>
          <w:sz w:val="24"/>
        </w:rPr>
      </w:pPr>
    </w:p>
    <w:p w14:paraId="7BC7585C">
      <w:pPr>
        <w:spacing w:line="360" w:lineRule="auto"/>
        <w:ind w:firstLine="480" w:firstLineChars="200"/>
        <w:rPr>
          <w:sz w:val="24"/>
        </w:rPr>
      </w:pPr>
      <w:r>
        <w:rPr>
          <w:sz w:val="24"/>
        </w:rPr>
        <w:t>通过将上述风险管控措施深度融入项目生命周期的早期阶段，我们构建起一道稳固的“风险防火墙”。这不仅极大提升了项目按计划成功交付的确定性，更重要的是，它创造了一个让开发团队能够专注于创造价值，而非疲于应对意外问题的稳定环境。风险前置管理，是我们交付“真正就绪”的智能化解决方案不可或缺的基石。</w:t>
      </w:r>
    </w:p>
    <w:p w14:paraId="2995CD51">
      <w:pPr>
        <w:spacing w:line="360" w:lineRule="auto"/>
        <w:rPr>
          <w:sz w:val="24"/>
        </w:rPr>
      </w:pPr>
    </w:p>
    <w:p w14:paraId="72F254B2">
      <w:pPr>
        <w:numPr>
          <w:ilvl w:val="1"/>
          <w:numId w:val="1"/>
        </w:numPr>
        <w:spacing w:line="360" w:lineRule="auto"/>
        <w:outlineLvl w:val="1"/>
        <w:rPr>
          <w:b/>
          <w:bCs/>
          <w:sz w:val="30"/>
          <w:szCs w:val="30"/>
        </w:rPr>
      </w:pPr>
      <w:bookmarkStart w:id="69" w:name="_Toc221113294"/>
      <w:r>
        <w:rPr>
          <w:b/>
          <w:bCs/>
          <w:sz w:val="30"/>
          <w:szCs w:val="30"/>
        </w:rPr>
        <w:t>项目组织与资源保障</w:t>
      </w:r>
      <w:bookmarkEnd w:id="69"/>
    </w:p>
    <w:p w14:paraId="55A81A50">
      <w:pPr>
        <w:spacing w:line="360" w:lineRule="auto"/>
        <w:rPr>
          <w:sz w:val="24"/>
        </w:rPr>
      </w:pPr>
    </w:p>
    <w:p w14:paraId="2D064D66">
      <w:pPr>
        <w:spacing w:line="360" w:lineRule="auto"/>
        <w:ind w:firstLine="420" w:firstLineChars="200"/>
        <w:rPr>
          <w:sz w:val="24"/>
        </w:rPr>
      </w:pPr>
      <w:r>
        <w:drawing>
          <wp:anchor distT="0" distB="0" distL="114300" distR="114300" simplePos="0" relativeHeight="251671552" behindDoc="0" locked="0" layoutInCell="1" allowOverlap="1">
            <wp:simplePos x="0" y="0"/>
            <wp:positionH relativeFrom="column">
              <wp:posOffset>-336550</wp:posOffset>
            </wp:positionH>
            <wp:positionV relativeFrom="paragraph">
              <wp:posOffset>782320</wp:posOffset>
            </wp:positionV>
            <wp:extent cx="6036945" cy="1576705"/>
            <wp:effectExtent l="133350" t="114300" r="135255" b="156845"/>
            <wp:wrapSquare wrapText="bothSides"/>
            <wp:docPr id="3876531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53176" name="图片 1"/>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036945" cy="1576705"/>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sz w:val="24"/>
        </w:rPr>
        <w:t>为确保项目高效推进，将建立职责清晰、沟通顺畅、资源保障有力的项目组织体系</w:t>
      </w:r>
      <w:r>
        <w:rPr>
          <w:rFonts w:hint="eastAsia"/>
          <w:sz w:val="24"/>
        </w:rPr>
        <w:t>，如图32所示</w:t>
      </w:r>
      <w:r>
        <w:rPr>
          <w:sz w:val="24"/>
        </w:rPr>
        <w:t>。</w:t>
      </w:r>
    </w:p>
    <w:p w14:paraId="65D40FD4">
      <w:pPr>
        <w:spacing w:line="360" w:lineRule="auto"/>
        <w:jc w:val="center"/>
        <w:rPr>
          <w:b/>
          <w:bCs/>
        </w:rPr>
      </w:pPr>
      <w:r>
        <w:rPr>
          <w:rFonts w:hint="eastAsia"/>
          <w:b/>
          <w:bCs/>
        </w:rPr>
        <w:t xml:space="preserve">图32 </w:t>
      </w:r>
      <w:r>
        <w:rPr>
          <w:b/>
          <w:bCs/>
        </w:rPr>
        <w:t>项目组织与资源保障配</w:t>
      </w:r>
    </w:p>
    <w:p w14:paraId="137026B0">
      <w:pPr>
        <w:numPr>
          <w:ilvl w:val="2"/>
          <w:numId w:val="1"/>
        </w:numPr>
        <w:spacing w:line="360" w:lineRule="auto"/>
        <w:outlineLvl w:val="2"/>
        <w:rPr>
          <w:b/>
          <w:bCs/>
          <w:sz w:val="28"/>
          <w:szCs w:val="28"/>
        </w:rPr>
      </w:pPr>
      <w:bookmarkStart w:id="70" w:name="_Toc221113295"/>
      <w:r>
        <w:rPr>
          <w:b/>
          <w:bCs/>
          <w:sz w:val="28"/>
          <w:szCs w:val="28"/>
        </w:rPr>
        <w:t>“强矩阵”式项目团队</w:t>
      </w:r>
      <w:bookmarkEnd w:id="70"/>
    </w:p>
    <w:p w14:paraId="5088EC47"/>
    <w:p w14:paraId="2FDD3E6E">
      <w:pPr>
        <w:pStyle w:val="2"/>
        <w:spacing w:line="360" w:lineRule="auto"/>
        <w:ind w:firstLine="480" w:firstLineChars="200"/>
        <w:rPr>
          <w:rFonts w:hint="eastAsia" w:ascii="宋体" w:hAnsi="宋体" w:eastAsia="宋体"/>
          <w:sz w:val="24"/>
        </w:rPr>
      </w:pPr>
      <w:r>
        <w:rPr>
          <w:rFonts w:hint="eastAsia" w:ascii="宋体" w:hAnsi="宋体" w:eastAsia="宋体"/>
          <w:sz w:val="24"/>
        </w:rPr>
        <w:t>“强矩阵”式项目团队组织与职责分工如表11所示。</w:t>
      </w:r>
    </w:p>
    <w:p w14:paraId="55B0C53F">
      <w:pPr>
        <w:pStyle w:val="2"/>
        <w:spacing w:line="360" w:lineRule="auto"/>
        <w:jc w:val="center"/>
        <w:rPr>
          <w:rFonts w:asciiTheme="minorHAnsi" w:hAnsiTheme="minorHAnsi" w:eastAsiaTheme="minorEastAsia"/>
          <w:b/>
          <w:bCs/>
          <w:sz w:val="21"/>
        </w:rPr>
      </w:pPr>
      <w:r>
        <w:rPr>
          <w:rFonts w:hint="eastAsia" w:asciiTheme="minorHAnsi" w:hAnsiTheme="minorHAnsi" w:eastAsiaTheme="minorEastAsia"/>
          <w:b/>
          <w:bCs/>
          <w:sz w:val="21"/>
        </w:rPr>
        <w:t>表11：“强矩阵”式项目团队组织与职责分工表</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0"/>
        <w:gridCol w:w="2840"/>
        <w:gridCol w:w="2840"/>
      </w:tblGrid>
      <w:tr w14:paraId="0B2A0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798BE012">
            <w:pPr>
              <w:spacing w:line="360" w:lineRule="auto"/>
              <w:jc w:val="center"/>
              <w:rPr>
                <w:b/>
                <w:bCs/>
                <w:sz w:val="24"/>
              </w:rPr>
            </w:pPr>
            <w:r>
              <w:rPr>
                <w:rFonts w:hint="eastAsia"/>
                <w:b/>
                <w:bCs/>
                <w:sz w:val="24"/>
              </w:rPr>
              <w:t>职位</w:t>
            </w:r>
          </w:p>
        </w:tc>
        <w:tc>
          <w:tcPr>
            <w:tcW w:w="2840" w:type="dxa"/>
          </w:tcPr>
          <w:p w14:paraId="061FF8BF">
            <w:pPr>
              <w:spacing w:line="360" w:lineRule="auto"/>
              <w:jc w:val="center"/>
              <w:rPr>
                <w:b/>
                <w:bCs/>
                <w:sz w:val="24"/>
              </w:rPr>
            </w:pPr>
            <w:r>
              <w:rPr>
                <w:rFonts w:hint="eastAsia"/>
                <w:b/>
                <w:bCs/>
                <w:sz w:val="24"/>
              </w:rPr>
              <w:t>职责</w:t>
            </w:r>
          </w:p>
        </w:tc>
        <w:tc>
          <w:tcPr>
            <w:tcW w:w="2840" w:type="dxa"/>
          </w:tcPr>
          <w:p w14:paraId="13966193">
            <w:pPr>
              <w:spacing w:line="360" w:lineRule="auto"/>
              <w:jc w:val="center"/>
              <w:rPr>
                <w:b/>
                <w:bCs/>
                <w:sz w:val="24"/>
              </w:rPr>
            </w:pPr>
            <w:r>
              <w:rPr>
                <w:rFonts w:hint="eastAsia"/>
                <w:b/>
                <w:bCs/>
                <w:sz w:val="24"/>
              </w:rPr>
              <w:t>部门</w:t>
            </w:r>
          </w:p>
        </w:tc>
      </w:tr>
      <w:tr w14:paraId="23C4C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6" w:hRule="atLeast"/>
        </w:trPr>
        <w:tc>
          <w:tcPr>
            <w:tcW w:w="2840" w:type="dxa"/>
          </w:tcPr>
          <w:p w14:paraId="659B52F3">
            <w:pPr>
              <w:spacing w:line="360" w:lineRule="auto"/>
              <w:jc w:val="center"/>
              <w:rPr>
                <w:b/>
                <w:bCs/>
                <w:sz w:val="24"/>
              </w:rPr>
            </w:pPr>
            <w:r>
              <w:rPr>
                <w:rFonts w:hint="eastAsia"/>
                <w:b/>
                <w:bCs/>
                <w:sz w:val="24"/>
              </w:rPr>
              <w:t>关键业务部门代表</w:t>
            </w:r>
          </w:p>
        </w:tc>
        <w:tc>
          <w:tcPr>
            <w:tcW w:w="2840" w:type="dxa"/>
            <w:vMerge w:val="restart"/>
          </w:tcPr>
          <w:p w14:paraId="12CA20C7">
            <w:pPr>
              <w:spacing w:line="360" w:lineRule="auto"/>
              <w:jc w:val="center"/>
              <w:rPr>
                <w:sz w:val="24"/>
              </w:rPr>
            </w:pPr>
            <w:r>
              <w:rPr>
                <w:rFonts w:hint="eastAsia"/>
                <w:sz w:val="24"/>
              </w:rPr>
              <w:t>深度参与需求确认、过程评审、测试验收及培训，确保项目成果与业务需求高度契合，并能对问题做出快速决策。</w:t>
            </w:r>
          </w:p>
        </w:tc>
        <w:tc>
          <w:tcPr>
            <w:tcW w:w="2840" w:type="dxa"/>
            <w:vMerge w:val="restart"/>
          </w:tcPr>
          <w:p w14:paraId="6F58265E">
            <w:pPr>
              <w:spacing w:line="360" w:lineRule="auto"/>
              <w:jc w:val="center"/>
              <w:rPr>
                <w:sz w:val="24"/>
              </w:rPr>
            </w:pPr>
            <w:r>
              <w:rPr>
                <w:rFonts w:hint="eastAsia"/>
                <w:sz w:val="24"/>
              </w:rPr>
              <w:t>校方联合项目组</w:t>
            </w:r>
          </w:p>
        </w:tc>
      </w:tr>
      <w:tr w14:paraId="28645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4F1AF4D3">
            <w:pPr>
              <w:spacing w:line="360" w:lineRule="auto"/>
              <w:jc w:val="center"/>
              <w:rPr>
                <w:b/>
                <w:bCs/>
                <w:sz w:val="24"/>
              </w:rPr>
            </w:pPr>
            <w:r>
              <w:rPr>
                <w:rFonts w:hint="eastAsia"/>
                <w:b/>
                <w:bCs/>
                <w:sz w:val="24"/>
              </w:rPr>
              <w:t>信息技术部门联络人</w:t>
            </w:r>
          </w:p>
        </w:tc>
        <w:tc>
          <w:tcPr>
            <w:tcW w:w="2840" w:type="dxa"/>
            <w:vMerge w:val="continue"/>
          </w:tcPr>
          <w:p w14:paraId="582F21CF">
            <w:pPr>
              <w:spacing w:line="360" w:lineRule="auto"/>
              <w:jc w:val="center"/>
              <w:rPr>
                <w:sz w:val="24"/>
              </w:rPr>
            </w:pPr>
          </w:p>
        </w:tc>
        <w:tc>
          <w:tcPr>
            <w:tcW w:w="2840" w:type="dxa"/>
            <w:vMerge w:val="continue"/>
          </w:tcPr>
          <w:p w14:paraId="2330F644">
            <w:pPr>
              <w:spacing w:line="360" w:lineRule="auto"/>
              <w:jc w:val="center"/>
              <w:rPr>
                <w:sz w:val="24"/>
              </w:rPr>
            </w:pPr>
          </w:p>
        </w:tc>
      </w:tr>
      <w:tr w14:paraId="67CA7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2B5F7876">
            <w:pPr>
              <w:spacing w:line="360" w:lineRule="auto"/>
              <w:jc w:val="center"/>
              <w:rPr>
                <w:b/>
                <w:bCs/>
                <w:sz w:val="24"/>
              </w:rPr>
            </w:pPr>
            <w:r>
              <w:rPr>
                <w:rFonts w:hint="eastAsia"/>
                <w:b/>
                <w:bCs/>
                <w:sz w:val="24"/>
              </w:rPr>
              <w:t>项目经理</w:t>
            </w:r>
          </w:p>
        </w:tc>
        <w:tc>
          <w:tcPr>
            <w:tcW w:w="2840" w:type="dxa"/>
          </w:tcPr>
          <w:p w14:paraId="089CFEC4">
            <w:pPr>
              <w:spacing w:line="360" w:lineRule="auto"/>
              <w:jc w:val="center"/>
              <w:rPr>
                <w:sz w:val="24"/>
              </w:rPr>
            </w:pPr>
            <w:r>
              <w:rPr>
                <w:rFonts w:hint="eastAsia"/>
                <w:sz w:val="24"/>
              </w:rPr>
              <w:t>负责整体计划、协调、监控和交付，作为双方沟通的第一接口人。</w:t>
            </w:r>
          </w:p>
        </w:tc>
        <w:tc>
          <w:tcPr>
            <w:tcW w:w="2840" w:type="dxa"/>
            <w:vMerge w:val="restart"/>
          </w:tcPr>
          <w:p w14:paraId="09E66C04">
            <w:pPr>
              <w:spacing w:line="360" w:lineRule="auto"/>
              <w:jc w:val="center"/>
              <w:rPr>
                <w:sz w:val="24"/>
              </w:rPr>
            </w:pPr>
            <w:r>
              <w:rPr>
                <w:rFonts w:hint="eastAsia"/>
                <w:sz w:val="24"/>
              </w:rPr>
              <w:t>我方核心交付团队</w:t>
            </w:r>
          </w:p>
        </w:tc>
      </w:tr>
      <w:tr w14:paraId="1C0F4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5DF15B48">
            <w:pPr>
              <w:spacing w:line="360" w:lineRule="auto"/>
              <w:jc w:val="center"/>
              <w:rPr>
                <w:b/>
                <w:bCs/>
                <w:sz w:val="24"/>
              </w:rPr>
            </w:pPr>
            <w:r>
              <w:rPr>
                <w:rFonts w:hint="eastAsia"/>
                <w:b/>
                <w:bCs/>
                <w:sz w:val="24"/>
              </w:rPr>
              <w:t>解决方案架构师</w:t>
            </w:r>
          </w:p>
        </w:tc>
        <w:tc>
          <w:tcPr>
            <w:tcW w:w="2840" w:type="dxa"/>
          </w:tcPr>
          <w:p w14:paraId="0F47BB51">
            <w:pPr>
              <w:spacing w:line="360" w:lineRule="auto"/>
              <w:jc w:val="center"/>
              <w:rPr>
                <w:sz w:val="24"/>
              </w:rPr>
            </w:pPr>
            <w:r>
              <w:rPr>
                <w:rFonts w:hint="eastAsia"/>
                <w:sz w:val="24"/>
              </w:rPr>
              <w:t>负责技术方案设计、架构评审及关键技术问题攻关。</w:t>
            </w:r>
          </w:p>
        </w:tc>
        <w:tc>
          <w:tcPr>
            <w:tcW w:w="2840" w:type="dxa"/>
            <w:vMerge w:val="continue"/>
          </w:tcPr>
          <w:p w14:paraId="4DE9C3F4">
            <w:pPr>
              <w:spacing w:line="360" w:lineRule="auto"/>
              <w:rPr>
                <w:sz w:val="24"/>
              </w:rPr>
            </w:pPr>
          </w:p>
        </w:tc>
      </w:tr>
      <w:tr w14:paraId="7BBD0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10AEB917">
            <w:pPr>
              <w:spacing w:line="360" w:lineRule="auto"/>
              <w:jc w:val="center"/>
              <w:rPr>
                <w:b/>
                <w:bCs/>
                <w:sz w:val="24"/>
              </w:rPr>
            </w:pPr>
            <w:r>
              <w:rPr>
                <w:rFonts w:hint="eastAsia"/>
                <w:b/>
                <w:bCs/>
                <w:sz w:val="24"/>
              </w:rPr>
              <w:t>开发团队</w:t>
            </w:r>
          </w:p>
        </w:tc>
        <w:tc>
          <w:tcPr>
            <w:tcW w:w="2840" w:type="dxa"/>
          </w:tcPr>
          <w:p w14:paraId="19FF6BD8">
            <w:pPr>
              <w:spacing w:line="360" w:lineRule="auto"/>
              <w:jc w:val="center"/>
              <w:rPr>
                <w:sz w:val="24"/>
              </w:rPr>
            </w:pPr>
            <w:r>
              <w:rPr>
                <w:rFonts w:hint="eastAsia"/>
                <w:sz w:val="24"/>
              </w:rPr>
              <w:t>按平台模块（数据湖、AI引擎、应用开发等）分设小组，由资深开发工程师带队。</w:t>
            </w:r>
          </w:p>
        </w:tc>
        <w:tc>
          <w:tcPr>
            <w:tcW w:w="2840" w:type="dxa"/>
            <w:vMerge w:val="continue"/>
          </w:tcPr>
          <w:p w14:paraId="76D8F1B1">
            <w:pPr>
              <w:spacing w:line="360" w:lineRule="auto"/>
              <w:rPr>
                <w:sz w:val="24"/>
              </w:rPr>
            </w:pPr>
          </w:p>
        </w:tc>
      </w:tr>
      <w:tr w14:paraId="2DE5C4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1D5A87CA">
            <w:pPr>
              <w:spacing w:line="360" w:lineRule="auto"/>
              <w:jc w:val="center"/>
              <w:rPr>
                <w:b/>
                <w:bCs/>
                <w:sz w:val="24"/>
              </w:rPr>
            </w:pPr>
            <w:r>
              <w:rPr>
                <w:rFonts w:hint="eastAsia"/>
                <w:b/>
                <w:bCs/>
                <w:sz w:val="24"/>
              </w:rPr>
              <w:t>测试工程师</w:t>
            </w:r>
          </w:p>
        </w:tc>
        <w:tc>
          <w:tcPr>
            <w:tcW w:w="2840" w:type="dxa"/>
          </w:tcPr>
          <w:p w14:paraId="3518226E">
            <w:pPr>
              <w:spacing w:line="360" w:lineRule="auto"/>
              <w:jc w:val="center"/>
              <w:rPr>
                <w:sz w:val="24"/>
              </w:rPr>
            </w:pPr>
            <w:r>
              <w:rPr>
                <w:rFonts w:hint="eastAsia"/>
                <w:sz w:val="24"/>
              </w:rPr>
              <w:t>负责制定测试计划、执行测试用例、提交缺陷报告。</w:t>
            </w:r>
          </w:p>
        </w:tc>
        <w:tc>
          <w:tcPr>
            <w:tcW w:w="2840" w:type="dxa"/>
            <w:vMerge w:val="continue"/>
          </w:tcPr>
          <w:p w14:paraId="79EDABD3">
            <w:pPr>
              <w:spacing w:line="360" w:lineRule="auto"/>
              <w:rPr>
                <w:sz w:val="24"/>
              </w:rPr>
            </w:pPr>
          </w:p>
        </w:tc>
      </w:tr>
      <w:tr w14:paraId="5BF8B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629D01B3">
            <w:pPr>
              <w:spacing w:line="360" w:lineRule="auto"/>
              <w:jc w:val="center"/>
              <w:rPr>
                <w:b/>
                <w:bCs/>
                <w:sz w:val="24"/>
              </w:rPr>
            </w:pPr>
            <w:r>
              <w:rPr>
                <w:rFonts w:hint="eastAsia"/>
                <w:b/>
                <w:bCs/>
                <w:sz w:val="24"/>
              </w:rPr>
              <w:t>部署与运维工程师</w:t>
            </w:r>
          </w:p>
        </w:tc>
        <w:tc>
          <w:tcPr>
            <w:tcW w:w="2840" w:type="dxa"/>
          </w:tcPr>
          <w:p w14:paraId="3C5717BB">
            <w:pPr>
              <w:spacing w:line="360" w:lineRule="auto"/>
              <w:jc w:val="center"/>
              <w:rPr>
                <w:sz w:val="24"/>
              </w:rPr>
            </w:pPr>
            <w:r>
              <w:rPr>
                <w:rFonts w:hint="eastAsia"/>
                <w:sz w:val="24"/>
              </w:rPr>
              <w:t>负责环境搭建、系统部署、性能调优及后期技术支持。</w:t>
            </w:r>
          </w:p>
        </w:tc>
        <w:tc>
          <w:tcPr>
            <w:tcW w:w="2840" w:type="dxa"/>
            <w:vMerge w:val="continue"/>
          </w:tcPr>
          <w:p w14:paraId="74362364">
            <w:pPr>
              <w:spacing w:line="360" w:lineRule="auto"/>
              <w:rPr>
                <w:sz w:val="24"/>
              </w:rPr>
            </w:pPr>
          </w:p>
        </w:tc>
      </w:tr>
    </w:tbl>
    <w:p w14:paraId="6FB5D298">
      <w:pPr>
        <w:spacing w:line="360" w:lineRule="auto"/>
        <w:jc w:val="center"/>
        <w:rPr>
          <w:sz w:val="24"/>
        </w:rPr>
      </w:pPr>
    </w:p>
    <w:p w14:paraId="2D5D11F2">
      <w:pPr>
        <w:numPr>
          <w:ilvl w:val="2"/>
          <w:numId w:val="1"/>
        </w:numPr>
        <w:spacing w:line="360" w:lineRule="auto"/>
        <w:outlineLvl w:val="2"/>
        <w:rPr>
          <w:b/>
          <w:bCs/>
          <w:sz w:val="28"/>
          <w:szCs w:val="28"/>
        </w:rPr>
      </w:pPr>
      <w:bookmarkStart w:id="71" w:name="_Toc221113296"/>
      <w:r>
        <w:rPr>
          <w:b/>
          <w:bCs/>
          <w:sz w:val="28"/>
          <w:szCs w:val="28"/>
        </w:rPr>
        <w:t>明确的决策与沟通链路</w:t>
      </w:r>
      <w:bookmarkEnd w:id="71"/>
    </w:p>
    <w:p w14:paraId="66864D26">
      <w:pPr>
        <w:spacing w:line="360" w:lineRule="auto"/>
        <w:rPr>
          <w:sz w:val="24"/>
        </w:rPr>
      </w:pPr>
    </w:p>
    <w:p w14:paraId="494A9BA5">
      <w:pPr>
        <w:spacing w:line="360" w:lineRule="auto"/>
        <w:ind w:firstLine="480" w:firstLineChars="200"/>
        <w:rPr>
          <w:sz w:val="24"/>
        </w:rPr>
      </w:pPr>
      <w:r>
        <w:rPr>
          <w:sz w:val="24"/>
        </w:rPr>
        <w:t>为确保项目在60个日历日的紧凑周期内高效推进、信息透明、决策迅速，我们建立了一套层级清晰、权责分明、响应及时的决策与沟通机制。该机制旨在保障日常问题快速闭环、关键议题有效决策、风险信息及时上报，并通过制度化的沟通渠道，实现项目全过程的协同与对齐。</w:t>
      </w:r>
    </w:p>
    <w:p w14:paraId="4E41F7E9">
      <w:pPr>
        <w:spacing w:line="360" w:lineRule="auto"/>
        <w:rPr>
          <w:sz w:val="24"/>
        </w:rPr>
      </w:pPr>
    </w:p>
    <w:p w14:paraId="53D07FDB">
      <w:pPr>
        <w:numPr>
          <w:ilvl w:val="3"/>
          <w:numId w:val="1"/>
        </w:numPr>
        <w:spacing w:line="360" w:lineRule="auto"/>
        <w:outlineLvl w:val="3"/>
        <w:rPr>
          <w:b/>
          <w:bCs/>
          <w:sz w:val="24"/>
        </w:rPr>
      </w:pPr>
      <w:bookmarkStart w:id="72" w:name="_Toc221113297"/>
      <w:r>
        <w:rPr>
          <w:b/>
          <w:bCs/>
          <w:sz w:val="24"/>
        </w:rPr>
        <w:t>决策机制与层级</w:t>
      </w:r>
      <w:bookmarkEnd w:id="72"/>
    </w:p>
    <w:p w14:paraId="00C5E914">
      <w:pPr>
        <w:pStyle w:val="2"/>
        <w:spacing w:line="360" w:lineRule="auto"/>
        <w:ind w:firstLine="480" w:firstLineChars="200"/>
        <w:rPr>
          <w:rFonts w:asciiTheme="minorHAnsi" w:hAnsiTheme="minorHAnsi" w:eastAsiaTheme="minorEastAsia"/>
          <w:sz w:val="24"/>
        </w:rPr>
      </w:pPr>
      <w:r>
        <w:rPr>
          <w:rFonts w:hint="eastAsia" w:asciiTheme="minorHAnsi" w:hAnsiTheme="minorHAnsi" w:eastAsiaTheme="minorEastAsia"/>
          <w:sz w:val="24"/>
        </w:rPr>
        <w:t>权责与响应时限如表12所示。</w:t>
      </w:r>
    </w:p>
    <w:p w14:paraId="438B42B0">
      <w:pPr>
        <w:pStyle w:val="2"/>
        <w:spacing w:line="360" w:lineRule="auto"/>
        <w:jc w:val="center"/>
        <w:rPr>
          <w:rFonts w:asciiTheme="minorHAnsi" w:hAnsiTheme="minorHAnsi" w:eastAsiaTheme="minorEastAsia"/>
          <w:b/>
          <w:bCs/>
          <w:sz w:val="21"/>
        </w:rPr>
      </w:pPr>
      <w:r>
        <w:rPr>
          <w:rFonts w:hint="eastAsia" w:asciiTheme="minorHAnsi" w:hAnsiTheme="minorHAnsi" w:eastAsiaTheme="minorEastAsia"/>
          <w:b/>
          <w:bCs/>
          <w:sz w:val="21"/>
        </w:rPr>
        <w:t>表12 决策层级（L1-L3）权责与响应时限对照表</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14:paraId="1B4C36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508A2A09">
            <w:pPr>
              <w:spacing w:line="360" w:lineRule="auto"/>
              <w:jc w:val="center"/>
              <w:rPr>
                <w:b/>
                <w:bCs/>
                <w:sz w:val="24"/>
              </w:rPr>
            </w:pPr>
            <w:r>
              <w:rPr>
                <w:b/>
                <w:bCs/>
                <w:sz w:val="24"/>
              </w:rPr>
              <w:t>决策层级</w:t>
            </w:r>
          </w:p>
        </w:tc>
        <w:tc>
          <w:tcPr>
            <w:tcW w:w="2130" w:type="dxa"/>
          </w:tcPr>
          <w:p w14:paraId="5F7B873D">
            <w:pPr>
              <w:spacing w:line="360" w:lineRule="auto"/>
              <w:jc w:val="center"/>
              <w:rPr>
                <w:b/>
                <w:bCs/>
                <w:sz w:val="24"/>
              </w:rPr>
            </w:pPr>
            <w:r>
              <w:rPr>
                <w:b/>
                <w:bCs/>
                <w:sz w:val="24"/>
              </w:rPr>
              <w:t>组成人员</w:t>
            </w:r>
          </w:p>
        </w:tc>
        <w:tc>
          <w:tcPr>
            <w:tcW w:w="2131" w:type="dxa"/>
          </w:tcPr>
          <w:p w14:paraId="2100258D">
            <w:pPr>
              <w:spacing w:line="360" w:lineRule="auto"/>
              <w:jc w:val="center"/>
              <w:rPr>
                <w:b/>
                <w:bCs/>
                <w:sz w:val="24"/>
              </w:rPr>
            </w:pPr>
            <w:r>
              <w:rPr>
                <w:b/>
                <w:bCs/>
                <w:sz w:val="24"/>
              </w:rPr>
              <w:t>决策范围与权限</w:t>
            </w:r>
          </w:p>
        </w:tc>
        <w:tc>
          <w:tcPr>
            <w:tcW w:w="2131" w:type="dxa"/>
          </w:tcPr>
          <w:p w14:paraId="1DAD4567">
            <w:pPr>
              <w:spacing w:line="360" w:lineRule="auto"/>
              <w:jc w:val="center"/>
              <w:rPr>
                <w:b/>
                <w:bCs/>
                <w:sz w:val="24"/>
              </w:rPr>
            </w:pPr>
            <w:r>
              <w:rPr>
                <w:b/>
                <w:bCs/>
                <w:sz w:val="24"/>
              </w:rPr>
              <w:t>决策时限</w:t>
            </w:r>
          </w:p>
        </w:tc>
      </w:tr>
      <w:tr w14:paraId="1D9D7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55C8C5DA">
            <w:pPr>
              <w:spacing w:line="360" w:lineRule="auto"/>
              <w:jc w:val="center"/>
              <w:rPr>
                <w:b/>
                <w:bCs/>
                <w:sz w:val="24"/>
              </w:rPr>
            </w:pPr>
            <w:r>
              <w:rPr>
                <w:b/>
                <w:bCs/>
                <w:sz w:val="24"/>
              </w:rPr>
              <w:t>Level 1：日常执行层</w:t>
            </w:r>
          </w:p>
        </w:tc>
        <w:tc>
          <w:tcPr>
            <w:tcW w:w="2130" w:type="dxa"/>
          </w:tcPr>
          <w:p w14:paraId="125B2F4A">
            <w:pPr>
              <w:spacing w:line="360" w:lineRule="auto"/>
              <w:jc w:val="left"/>
              <w:rPr>
                <w:sz w:val="24"/>
              </w:rPr>
            </w:pPr>
            <w:r>
              <w:rPr>
                <w:sz w:val="24"/>
              </w:rPr>
              <w:t>双方项目经理</w:t>
            </w:r>
          </w:p>
        </w:tc>
        <w:tc>
          <w:tcPr>
            <w:tcW w:w="2131" w:type="dxa"/>
          </w:tcPr>
          <w:p w14:paraId="4F31DD5C">
            <w:pPr>
              <w:spacing w:line="360" w:lineRule="auto"/>
              <w:jc w:val="left"/>
              <w:rPr>
                <w:sz w:val="24"/>
              </w:rPr>
            </w:pPr>
            <w:r>
              <w:rPr>
                <w:sz w:val="24"/>
              </w:rPr>
              <w:t>1. 项目日常进度协调与资源调度</w:t>
            </w:r>
          </w:p>
          <w:p w14:paraId="4705E418">
            <w:pPr>
              <w:spacing w:line="360" w:lineRule="auto"/>
              <w:jc w:val="left"/>
              <w:rPr>
                <w:sz w:val="24"/>
              </w:rPr>
            </w:pPr>
            <w:r>
              <w:rPr>
                <w:sz w:val="24"/>
              </w:rPr>
              <w:t>2. 一般性需求澄清与微调</w:t>
            </w:r>
          </w:p>
          <w:p w14:paraId="480C461C">
            <w:pPr>
              <w:spacing w:line="360" w:lineRule="auto"/>
              <w:jc w:val="left"/>
              <w:rPr>
                <w:sz w:val="24"/>
              </w:rPr>
            </w:pPr>
            <w:r>
              <w:rPr>
                <w:sz w:val="24"/>
              </w:rPr>
              <w:t>3. 非关键路径上的任务优先级调整</w:t>
            </w:r>
          </w:p>
          <w:p w14:paraId="19EA6E66">
            <w:pPr>
              <w:spacing w:line="360" w:lineRule="auto"/>
              <w:jc w:val="left"/>
              <w:rPr>
                <w:sz w:val="24"/>
              </w:rPr>
            </w:pPr>
            <w:r>
              <w:rPr>
                <w:sz w:val="24"/>
              </w:rPr>
              <w:t>4. 常规问题处理与争议调解</w:t>
            </w:r>
          </w:p>
        </w:tc>
        <w:tc>
          <w:tcPr>
            <w:tcW w:w="2131" w:type="dxa"/>
          </w:tcPr>
          <w:p w14:paraId="519A0ACE">
            <w:pPr>
              <w:spacing w:line="360" w:lineRule="auto"/>
              <w:jc w:val="left"/>
              <w:rPr>
                <w:sz w:val="24"/>
              </w:rPr>
            </w:pPr>
            <w:r>
              <w:rPr>
                <w:sz w:val="24"/>
              </w:rPr>
              <w:t>24小时内决议</w:t>
            </w:r>
          </w:p>
        </w:tc>
      </w:tr>
      <w:tr w14:paraId="4F07D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3C58663B">
            <w:pPr>
              <w:spacing w:line="360" w:lineRule="auto"/>
              <w:jc w:val="center"/>
              <w:rPr>
                <w:b/>
                <w:bCs/>
                <w:sz w:val="24"/>
              </w:rPr>
            </w:pPr>
            <w:r>
              <w:rPr>
                <w:b/>
                <w:bCs/>
                <w:sz w:val="24"/>
              </w:rPr>
              <w:t>Level 2：项目管控层</w:t>
            </w:r>
          </w:p>
        </w:tc>
        <w:tc>
          <w:tcPr>
            <w:tcW w:w="2130" w:type="dxa"/>
          </w:tcPr>
          <w:p w14:paraId="2656B9F4">
            <w:pPr>
              <w:spacing w:line="360" w:lineRule="auto"/>
              <w:jc w:val="left"/>
              <w:rPr>
                <w:sz w:val="24"/>
              </w:rPr>
            </w:pPr>
            <w:r>
              <w:rPr>
                <w:sz w:val="24"/>
              </w:rPr>
              <w:t>双方项目领导小组（校方：信息中心负责人、业务部门主管；我方：交付总监、技术总监）</w:t>
            </w:r>
          </w:p>
        </w:tc>
        <w:tc>
          <w:tcPr>
            <w:tcW w:w="2131" w:type="dxa"/>
          </w:tcPr>
          <w:p w14:paraId="68289B48">
            <w:pPr>
              <w:spacing w:line="360" w:lineRule="auto"/>
              <w:jc w:val="left"/>
              <w:rPr>
                <w:sz w:val="24"/>
              </w:rPr>
            </w:pPr>
            <w:r>
              <w:rPr>
                <w:sz w:val="24"/>
              </w:rPr>
              <w:t>1. 审批项目阶段成果与里程碑</w:t>
            </w:r>
          </w:p>
          <w:p w14:paraId="78DA0A98">
            <w:pPr>
              <w:spacing w:line="360" w:lineRule="auto"/>
              <w:jc w:val="left"/>
              <w:rPr>
                <w:sz w:val="24"/>
              </w:rPr>
            </w:pPr>
            <w:r>
              <w:rPr>
                <w:sz w:val="24"/>
              </w:rPr>
              <w:t>2. 决策范围变更（微小调整）</w:t>
            </w:r>
          </w:p>
          <w:p w14:paraId="5FD56992">
            <w:pPr>
              <w:spacing w:line="360" w:lineRule="auto"/>
              <w:jc w:val="left"/>
              <w:rPr>
                <w:sz w:val="24"/>
              </w:rPr>
            </w:pPr>
            <w:r>
              <w:rPr>
                <w:sz w:val="24"/>
              </w:rPr>
              <w:t>3. 审批技术方案重大调整</w:t>
            </w:r>
          </w:p>
          <w:p w14:paraId="193FE5BA">
            <w:pPr>
              <w:spacing w:line="360" w:lineRule="auto"/>
              <w:jc w:val="left"/>
              <w:rPr>
                <w:sz w:val="24"/>
              </w:rPr>
            </w:pPr>
            <w:r>
              <w:rPr>
                <w:sz w:val="24"/>
              </w:rPr>
              <w:t>4. 处理升级的争议与资源冲突</w:t>
            </w:r>
          </w:p>
          <w:p w14:paraId="435CC253">
            <w:pPr>
              <w:spacing w:line="360" w:lineRule="auto"/>
              <w:jc w:val="left"/>
              <w:rPr>
                <w:sz w:val="24"/>
              </w:rPr>
            </w:pPr>
            <w:r>
              <w:rPr>
                <w:sz w:val="24"/>
              </w:rPr>
              <w:t>5. 审核风险应对策略</w:t>
            </w:r>
          </w:p>
        </w:tc>
        <w:tc>
          <w:tcPr>
            <w:tcW w:w="2131" w:type="dxa"/>
          </w:tcPr>
          <w:p w14:paraId="5897B501">
            <w:pPr>
              <w:spacing w:line="360" w:lineRule="auto"/>
              <w:jc w:val="left"/>
              <w:rPr>
                <w:sz w:val="24"/>
              </w:rPr>
            </w:pPr>
            <w:r>
              <w:rPr>
                <w:sz w:val="24"/>
              </w:rPr>
              <w:t>48小时内决议</w:t>
            </w:r>
          </w:p>
        </w:tc>
      </w:tr>
      <w:tr w14:paraId="60F5C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14:paraId="7A2F3B2B">
            <w:pPr>
              <w:spacing w:line="360" w:lineRule="auto"/>
              <w:jc w:val="center"/>
              <w:rPr>
                <w:b/>
                <w:bCs/>
                <w:sz w:val="24"/>
              </w:rPr>
            </w:pPr>
            <w:r>
              <w:rPr>
                <w:b/>
                <w:bCs/>
                <w:sz w:val="24"/>
              </w:rPr>
              <w:t>Level 3：战略决策层</w:t>
            </w:r>
          </w:p>
        </w:tc>
        <w:tc>
          <w:tcPr>
            <w:tcW w:w="2130" w:type="dxa"/>
          </w:tcPr>
          <w:p w14:paraId="00FDD703">
            <w:pPr>
              <w:spacing w:line="360" w:lineRule="auto"/>
              <w:jc w:val="left"/>
              <w:rPr>
                <w:sz w:val="24"/>
              </w:rPr>
            </w:pPr>
            <w:r>
              <w:rPr>
                <w:sz w:val="24"/>
              </w:rPr>
              <w:t>双方高层领导（校方：分管校领导；我方：公司高层负责人）</w:t>
            </w:r>
          </w:p>
        </w:tc>
        <w:tc>
          <w:tcPr>
            <w:tcW w:w="2131" w:type="dxa"/>
          </w:tcPr>
          <w:p w14:paraId="252E4145">
            <w:pPr>
              <w:spacing w:line="360" w:lineRule="auto"/>
              <w:jc w:val="left"/>
              <w:rPr>
                <w:sz w:val="24"/>
              </w:rPr>
            </w:pPr>
            <w:r>
              <w:rPr>
                <w:sz w:val="24"/>
              </w:rPr>
              <w:t>1. 审批项目重大范围变更与预算调整</w:t>
            </w:r>
          </w:p>
          <w:p w14:paraId="7A8AA9DD">
            <w:pPr>
              <w:spacing w:line="360" w:lineRule="auto"/>
              <w:jc w:val="left"/>
              <w:rPr>
                <w:sz w:val="24"/>
              </w:rPr>
            </w:pPr>
            <w:r>
              <w:rPr>
                <w:sz w:val="24"/>
              </w:rPr>
              <w:t>2. 决策项目方向性调整或终止</w:t>
            </w:r>
          </w:p>
          <w:p w14:paraId="34A378A9">
            <w:pPr>
              <w:spacing w:line="360" w:lineRule="auto"/>
              <w:jc w:val="left"/>
              <w:rPr>
                <w:sz w:val="24"/>
              </w:rPr>
            </w:pPr>
            <w:r>
              <w:rPr>
                <w:sz w:val="24"/>
              </w:rPr>
              <w:t>3. 处理重大合规性、安全性事件</w:t>
            </w:r>
          </w:p>
          <w:p w14:paraId="7E58C6E1">
            <w:pPr>
              <w:spacing w:line="360" w:lineRule="auto"/>
              <w:jc w:val="left"/>
              <w:rPr>
                <w:sz w:val="24"/>
              </w:rPr>
            </w:pPr>
            <w:r>
              <w:rPr>
                <w:sz w:val="24"/>
              </w:rPr>
              <w:t>4. 裁决Level 2无法达成一致的重大争议</w:t>
            </w:r>
          </w:p>
        </w:tc>
        <w:tc>
          <w:tcPr>
            <w:tcW w:w="2131" w:type="dxa"/>
          </w:tcPr>
          <w:p w14:paraId="2ED29DA0">
            <w:pPr>
              <w:spacing w:line="360" w:lineRule="auto"/>
              <w:jc w:val="left"/>
              <w:rPr>
                <w:sz w:val="24"/>
              </w:rPr>
            </w:pPr>
            <w:r>
              <w:rPr>
                <w:sz w:val="24"/>
              </w:rPr>
              <w:t>按需召开专题会</w:t>
            </w:r>
          </w:p>
        </w:tc>
      </w:tr>
    </w:tbl>
    <w:p w14:paraId="5102DA3B">
      <w:pPr>
        <w:spacing w:line="360" w:lineRule="auto"/>
        <w:rPr>
          <w:sz w:val="24"/>
        </w:rPr>
      </w:pPr>
    </w:p>
    <w:p w14:paraId="0169D091">
      <w:pPr>
        <w:spacing w:line="360" w:lineRule="auto"/>
        <w:rPr>
          <w:sz w:val="24"/>
        </w:rPr>
      </w:pPr>
    </w:p>
    <w:p w14:paraId="757AFACC">
      <w:pPr>
        <w:numPr>
          <w:ilvl w:val="3"/>
          <w:numId w:val="1"/>
        </w:numPr>
        <w:spacing w:line="360" w:lineRule="auto"/>
        <w:outlineLvl w:val="3"/>
        <w:rPr>
          <w:b/>
          <w:bCs/>
          <w:sz w:val="24"/>
        </w:rPr>
      </w:pPr>
      <w:bookmarkStart w:id="73" w:name="_Toc221113298"/>
      <w:r>
        <w:rPr>
          <w:b/>
          <w:bCs/>
          <w:sz w:val="24"/>
        </w:rPr>
        <w:t>沟通机制与渠道</w:t>
      </w:r>
      <w:bookmarkEnd w:id="73"/>
    </w:p>
    <w:p w14:paraId="09F45D7F">
      <w:pPr>
        <w:spacing w:line="360" w:lineRule="auto"/>
        <w:rPr>
          <w:sz w:val="24"/>
        </w:rPr>
      </w:pPr>
    </w:p>
    <w:p w14:paraId="7EB38E80">
      <w:pPr>
        <w:spacing w:line="360" w:lineRule="auto"/>
        <w:ind w:firstLine="480" w:firstLineChars="200"/>
        <w:rPr>
          <w:sz w:val="24"/>
        </w:rPr>
      </w:pPr>
      <w:r>
        <w:rPr>
          <w:sz w:val="24"/>
        </w:rPr>
        <w:t>我们建立以“定期会议为核心，即时通讯为辅助，书面报告为记录”的多维度沟通网络，确保信息在正确的时间以正确的方式传递至正确的干系人</w:t>
      </w:r>
      <w:r>
        <w:rPr>
          <w:rFonts w:hint="eastAsia"/>
          <w:sz w:val="24"/>
        </w:rPr>
        <w:t>，项目沟通机制如表13所示</w:t>
      </w:r>
      <w:r>
        <w:rPr>
          <w:sz w:val="24"/>
        </w:rPr>
        <w:t>。</w:t>
      </w:r>
    </w:p>
    <w:p w14:paraId="496EBBA3">
      <w:pPr>
        <w:spacing w:line="360" w:lineRule="auto"/>
        <w:rPr>
          <w:sz w:val="24"/>
        </w:rPr>
      </w:pPr>
    </w:p>
    <w:p w14:paraId="38212EDD">
      <w:pPr>
        <w:pStyle w:val="2"/>
        <w:spacing w:line="360" w:lineRule="auto"/>
        <w:ind w:firstLine="422" w:firstLineChars="200"/>
        <w:jc w:val="center"/>
        <w:rPr>
          <w:rFonts w:asciiTheme="minorHAnsi" w:hAnsiTheme="minorHAnsi" w:eastAsiaTheme="minorEastAsia"/>
          <w:b/>
          <w:bCs/>
          <w:sz w:val="21"/>
        </w:rPr>
      </w:pPr>
      <w:r>
        <w:rPr>
          <w:rFonts w:hint="eastAsia" w:asciiTheme="minorHAnsi" w:hAnsiTheme="minorHAnsi" w:eastAsiaTheme="minorEastAsia"/>
          <w:b/>
          <w:bCs/>
          <w:sz w:val="21"/>
        </w:rPr>
        <w:t>表13 项目沟通机制与会议矩阵表</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4"/>
        <w:gridCol w:w="1704"/>
        <w:gridCol w:w="1704"/>
        <w:gridCol w:w="1705"/>
        <w:gridCol w:w="1705"/>
      </w:tblGrid>
      <w:tr w14:paraId="3BC6F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6C0F952C">
            <w:pPr>
              <w:spacing w:line="360" w:lineRule="auto"/>
              <w:jc w:val="center"/>
              <w:rPr>
                <w:b/>
                <w:bCs/>
                <w:sz w:val="24"/>
              </w:rPr>
            </w:pPr>
            <w:r>
              <w:rPr>
                <w:b/>
                <w:bCs/>
                <w:sz w:val="24"/>
              </w:rPr>
              <w:t>沟通活动</w:t>
            </w:r>
          </w:p>
        </w:tc>
        <w:tc>
          <w:tcPr>
            <w:tcW w:w="1704" w:type="dxa"/>
          </w:tcPr>
          <w:p w14:paraId="2CDA9E5D">
            <w:pPr>
              <w:spacing w:line="360" w:lineRule="auto"/>
              <w:jc w:val="center"/>
              <w:rPr>
                <w:b/>
                <w:bCs/>
                <w:sz w:val="24"/>
              </w:rPr>
            </w:pPr>
            <w:r>
              <w:rPr>
                <w:b/>
                <w:bCs/>
                <w:sz w:val="24"/>
              </w:rPr>
              <w:t>频率/时机</w:t>
            </w:r>
          </w:p>
        </w:tc>
        <w:tc>
          <w:tcPr>
            <w:tcW w:w="1704" w:type="dxa"/>
          </w:tcPr>
          <w:p w14:paraId="59FA267B">
            <w:pPr>
              <w:spacing w:line="360" w:lineRule="auto"/>
              <w:jc w:val="center"/>
              <w:rPr>
                <w:b/>
                <w:bCs/>
                <w:sz w:val="24"/>
              </w:rPr>
            </w:pPr>
            <w:r>
              <w:rPr>
                <w:b/>
                <w:bCs/>
                <w:sz w:val="24"/>
              </w:rPr>
              <w:t>参与人员</w:t>
            </w:r>
          </w:p>
        </w:tc>
        <w:tc>
          <w:tcPr>
            <w:tcW w:w="1705" w:type="dxa"/>
          </w:tcPr>
          <w:p w14:paraId="6CA32E92">
            <w:pPr>
              <w:spacing w:line="360" w:lineRule="auto"/>
              <w:jc w:val="center"/>
              <w:rPr>
                <w:b/>
                <w:bCs/>
                <w:sz w:val="24"/>
              </w:rPr>
            </w:pPr>
            <w:r>
              <w:rPr>
                <w:b/>
                <w:bCs/>
                <w:sz w:val="24"/>
              </w:rPr>
              <w:t>主要内容</w:t>
            </w:r>
          </w:p>
        </w:tc>
        <w:tc>
          <w:tcPr>
            <w:tcW w:w="1705" w:type="dxa"/>
          </w:tcPr>
          <w:p w14:paraId="4B3E9AD6">
            <w:pPr>
              <w:spacing w:line="360" w:lineRule="auto"/>
              <w:jc w:val="center"/>
              <w:rPr>
                <w:b/>
                <w:bCs/>
                <w:sz w:val="24"/>
              </w:rPr>
            </w:pPr>
            <w:r>
              <w:rPr>
                <w:b/>
                <w:bCs/>
                <w:sz w:val="24"/>
              </w:rPr>
              <w:t>输出成果</w:t>
            </w:r>
          </w:p>
        </w:tc>
      </w:tr>
      <w:tr w14:paraId="71C3E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5A1ACD2D">
            <w:pPr>
              <w:spacing w:line="360" w:lineRule="auto"/>
              <w:jc w:val="center"/>
              <w:rPr>
                <w:b/>
                <w:bCs/>
                <w:sz w:val="24"/>
              </w:rPr>
            </w:pPr>
            <w:r>
              <w:rPr>
                <w:b/>
                <w:bCs/>
                <w:sz w:val="24"/>
              </w:rPr>
              <w:t>每日站会</w:t>
            </w:r>
          </w:p>
        </w:tc>
        <w:tc>
          <w:tcPr>
            <w:tcW w:w="1704" w:type="dxa"/>
          </w:tcPr>
          <w:p w14:paraId="513E136F">
            <w:pPr>
              <w:spacing w:line="360" w:lineRule="auto"/>
              <w:jc w:val="center"/>
              <w:rPr>
                <w:sz w:val="24"/>
              </w:rPr>
            </w:pPr>
            <w:r>
              <w:rPr>
                <w:sz w:val="24"/>
              </w:rPr>
              <w:t>每个工作日晨会15分钟</w:t>
            </w:r>
          </w:p>
        </w:tc>
        <w:tc>
          <w:tcPr>
            <w:tcW w:w="1704" w:type="dxa"/>
          </w:tcPr>
          <w:p w14:paraId="557C6C3B">
            <w:pPr>
              <w:spacing w:line="360" w:lineRule="auto"/>
              <w:jc w:val="center"/>
              <w:rPr>
                <w:sz w:val="24"/>
              </w:rPr>
            </w:pPr>
            <w:r>
              <w:rPr>
                <w:sz w:val="24"/>
              </w:rPr>
              <w:t>我方开发、测试、部署团队核心成员</w:t>
            </w:r>
          </w:p>
        </w:tc>
        <w:tc>
          <w:tcPr>
            <w:tcW w:w="1705" w:type="dxa"/>
          </w:tcPr>
          <w:p w14:paraId="2150E449">
            <w:pPr>
              <w:spacing w:line="360" w:lineRule="auto"/>
              <w:jc w:val="center"/>
              <w:rPr>
                <w:sz w:val="24"/>
              </w:rPr>
            </w:pPr>
            <w:r>
              <w:rPr>
                <w:sz w:val="24"/>
              </w:rPr>
              <w:t>同步昨日进展、今日计划、当前阻塞问题</w:t>
            </w:r>
          </w:p>
        </w:tc>
        <w:tc>
          <w:tcPr>
            <w:tcW w:w="1705" w:type="dxa"/>
          </w:tcPr>
          <w:p w14:paraId="3752779F">
            <w:pPr>
              <w:spacing w:line="360" w:lineRule="auto"/>
              <w:jc w:val="center"/>
              <w:rPr>
                <w:sz w:val="24"/>
              </w:rPr>
            </w:pPr>
            <w:r>
              <w:rPr>
                <w:sz w:val="24"/>
              </w:rPr>
              <w:t>每日任务看板更新、阻塞问题清单</w:t>
            </w:r>
          </w:p>
        </w:tc>
      </w:tr>
      <w:tr w14:paraId="745E52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030CF5A4">
            <w:pPr>
              <w:spacing w:line="360" w:lineRule="auto"/>
              <w:jc w:val="center"/>
              <w:rPr>
                <w:b/>
                <w:bCs/>
                <w:sz w:val="24"/>
              </w:rPr>
            </w:pPr>
            <w:r>
              <w:rPr>
                <w:b/>
                <w:bCs/>
                <w:sz w:val="24"/>
              </w:rPr>
              <w:t>双周迭代评审会</w:t>
            </w:r>
          </w:p>
        </w:tc>
        <w:tc>
          <w:tcPr>
            <w:tcW w:w="1704" w:type="dxa"/>
          </w:tcPr>
          <w:p w14:paraId="23383A92">
            <w:pPr>
              <w:spacing w:line="360" w:lineRule="auto"/>
              <w:jc w:val="center"/>
              <w:rPr>
                <w:sz w:val="24"/>
              </w:rPr>
            </w:pPr>
            <w:r>
              <w:rPr>
                <w:sz w:val="24"/>
              </w:rPr>
              <w:t>每两周一次（1小时）</w:t>
            </w:r>
          </w:p>
        </w:tc>
        <w:tc>
          <w:tcPr>
            <w:tcW w:w="1704" w:type="dxa"/>
          </w:tcPr>
          <w:p w14:paraId="3F2BAA0A">
            <w:pPr>
              <w:spacing w:line="360" w:lineRule="auto"/>
              <w:jc w:val="center"/>
              <w:rPr>
                <w:sz w:val="24"/>
              </w:rPr>
            </w:pPr>
            <w:r>
              <w:rPr>
                <w:sz w:val="24"/>
              </w:rPr>
              <w:t>双方项目经理、关键业务代表、我方核心团队</w:t>
            </w:r>
          </w:p>
        </w:tc>
        <w:tc>
          <w:tcPr>
            <w:tcW w:w="1705" w:type="dxa"/>
          </w:tcPr>
          <w:p w14:paraId="0927188E">
            <w:pPr>
              <w:spacing w:line="360" w:lineRule="auto"/>
              <w:jc w:val="center"/>
              <w:rPr>
                <w:sz w:val="24"/>
              </w:rPr>
            </w:pPr>
            <w:r>
              <w:rPr>
                <w:sz w:val="24"/>
              </w:rPr>
              <w:t>演示本迭代已完成的特性，收集反馈，确认下一迭代目标</w:t>
            </w:r>
          </w:p>
        </w:tc>
        <w:tc>
          <w:tcPr>
            <w:tcW w:w="1705" w:type="dxa"/>
          </w:tcPr>
          <w:p w14:paraId="3BE5A7AC">
            <w:pPr>
              <w:spacing w:line="360" w:lineRule="auto"/>
              <w:jc w:val="center"/>
              <w:rPr>
                <w:sz w:val="24"/>
              </w:rPr>
            </w:pPr>
            <w:r>
              <w:rPr>
                <w:sz w:val="24"/>
              </w:rPr>
              <w:t>迭代验收清单、下迭代Backlog</w:t>
            </w:r>
          </w:p>
        </w:tc>
      </w:tr>
      <w:tr w14:paraId="335ED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6182150E">
            <w:pPr>
              <w:spacing w:line="360" w:lineRule="auto"/>
              <w:jc w:val="center"/>
              <w:rPr>
                <w:b/>
                <w:bCs/>
                <w:sz w:val="24"/>
              </w:rPr>
            </w:pPr>
            <w:r>
              <w:rPr>
                <w:b/>
                <w:bCs/>
                <w:sz w:val="24"/>
              </w:rPr>
              <w:t>每周项目例会</w:t>
            </w:r>
          </w:p>
        </w:tc>
        <w:tc>
          <w:tcPr>
            <w:tcW w:w="1704" w:type="dxa"/>
          </w:tcPr>
          <w:p w14:paraId="566E9C2B">
            <w:pPr>
              <w:spacing w:line="360" w:lineRule="auto"/>
              <w:jc w:val="center"/>
              <w:rPr>
                <w:sz w:val="24"/>
              </w:rPr>
            </w:pPr>
            <w:r>
              <w:rPr>
                <w:sz w:val="24"/>
              </w:rPr>
              <w:t>每周一次（1小时）</w:t>
            </w:r>
          </w:p>
        </w:tc>
        <w:tc>
          <w:tcPr>
            <w:tcW w:w="1704" w:type="dxa"/>
          </w:tcPr>
          <w:p w14:paraId="6C69EE8B">
            <w:pPr>
              <w:spacing w:line="360" w:lineRule="auto"/>
              <w:jc w:val="center"/>
              <w:rPr>
                <w:sz w:val="24"/>
              </w:rPr>
            </w:pPr>
            <w:r>
              <w:rPr>
                <w:sz w:val="24"/>
              </w:rPr>
              <w:t>双方项目经理、技术负责人</w:t>
            </w:r>
          </w:p>
        </w:tc>
        <w:tc>
          <w:tcPr>
            <w:tcW w:w="1705" w:type="dxa"/>
          </w:tcPr>
          <w:p w14:paraId="36F12AEE">
            <w:pPr>
              <w:spacing w:line="360" w:lineRule="auto"/>
              <w:jc w:val="center"/>
              <w:rPr>
                <w:sz w:val="24"/>
              </w:rPr>
            </w:pPr>
            <w:r>
              <w:rPr>
                <w:sz w:val="24"/>
              </w:rPr>
              <w:t>整体进度汇报、风险同步、资源协调、决策议题提请</w:t>
            </w:r>
          </w:p>
        </w:tc>
        <w:tc>
          <w:tcPr>
            <w:tcW w:w="1705" w:type="dxa"/>
          </w:tcPr>
          <w:p w14:paraId="5D08BD9B">
            <w:pPr>
              <w:spacing w:line="360" w:lineRule="auto"/>
              <w:jc w:val="center"/>
              <w:rPr>
                <w:sz w:val="24"/>
              </w:rPr>
            </w:pPr>
            <w:r>
              <w:rPr>
                <w:sz w:val="24"/>
              </w:rPr>
              <w:t>项目周报、会议纪要、行动项清单</w:t>
            </w:r>
          </w:p>
        </w:tc>
      </w:tr>
      <w:tr w14:paraId="293FD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58AA1D03">
            <w:pPr>
              <w:spacing w:line="360" w:lineRule="auto"/>
              <w:jc w:val="center"/>
              <w:rPr>
                <w:b/>
                <w:bCs/>
                <w:sz w:val="24"/>
              </w:rPr>
            </w:pPr>
            <w:r>
              <w:rPr>
                <w:b/>
                <w:bCs/>
                <w:sz w:val="24"/>
              </w:rPr>
              <w:t>月度项目汇报会</w:t>
            </w:r>
          </w:p>
        </w:tc>
        <w:tc>
          <w:tcPr>
            <w:tcW w:w="1704" w:type="dxa"/>
          </w:tcPr>
          <w:p w14:paraId="1127EB96">
            <w:pPr>
              <w:spacing w:line="360" w:lineRule="auto"/>
              <w:jc w:val="center"/>
              <w:rPr>
                <w:sz w:val="24"/>
              </w:rPr>
            </w:pPr>
            <w:r>
              <w:rPr>
                <w:sz w:val="24"/>
              </w:rPr>
              <w:t>每月一次（1.5小时）</w:t>
            </w:r>
          </w:p>
        </w:tc>
        <w:tc>
          <w:tcPr>
            <w:tcW w:w="1704" w:type="dxa"/>
          </w:tcPr>
          <w:p w14:paraId="438597C2">
            <w:pPr>
              <w:spacing w:line="360" w:lineRule="auto"/>
              <w:jc w:val="center"/>
              <w:rPr>
                <w:sz w:val="24"/>
              </w:rPr>
            </w:pPr>
            <w:r>
              <w:rPr>
                <w:sz w:val="24"/>
              </w:rPr>
              <w:t>双方项目领导小组全体成员</w:t>
            </w:r>
          </w:p>
        </w:tc>
        <w:tc>
          <w:tcPr>
            <w:tcW w:w="1705" w:type="dxa"/>
          </w:tcPr>
          <w:p w14:paraId="771BC524">
            <w:pPr>
              <w:spacing w:line="360" w:lineRule="auto"/>
              <w:jc w:val="center"/>
              <w:rPr>
                <w:sz w:val="24"/>
              </w:rPr>
            </w:pPr>
            <w:r>
              <w:rPr>
                <w:sz w:val="24"/>
              </w:rPr>
              <w:t>里程碑评审、阶段性成果汇报、重大风险与变更评估、下阶段计划确认</w:t>
            </w:r>
          </w:p>
        </w:tc>
        <w:tc>
          <w:tcPr>
            <w:tcW w:w="1705" w:type="dxa"/>
          </w:tcPr>
          <w:p w14:paraId="7F66E3D8">
            <w:pPr>
              <w:spacing w:line="360" w:lineRule="auto"/>
              <w:jc w:val="center"/>
              <w:rPr>
                <w:sz w:val="24"/>
              </w:rPr>
            </w:pPr>
            <w:r>
              <w:rPr>
                <w:sz w:val="24"/>
              </w:rPr>
              <w:t>月度进展报告、决策记录</w:t>
            </w:r>
          </w:p>
        </w:tc>
      </w:tr>
      <w:tr w14:paraId="61CD71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11903240">
            <w:pPr>
              <w:spacing w:line="360" w:lineRule="auto"/>
              <w:jc w:val="center"/>
              <w:rPr>
                <w:b/>
                <w:bCs/>
                <w:sz w:val="24"/>
              </w:rPr>
            </w:pPr>
            <w:r>
              <w:rPr>
                <w:b/>
                <w:bCs/>
                <w:sz w:val="24"/>
              </w:rPr>
              <w:t>专题技术协调会</w:t>
            </w:r>
          </w:p>
        </w:tc>
        <w:tc>
          <w:tcPr>
            <w:tcW w:w="1704" w:type="dxa"/>
          </w:tcPr>
          <w:p w14:paraId="63E482E3">
            <w:pPr>
              <w:spacing w:line="360" w:lineRule="auto"/>
              <w:jc w:val="center"/>
              <w:rPr>
                <w:sz w:val="24"/>
              </w:rPr>
            </w:pPr>
            <w:r>
              <w:rPr>
                <w:sz w:val="24"/>
              </w:rPr>
              <w:t>按需召开</w:t>
            </w:r>
          </w:p>
        </w:tc>
        <w:tc>
          <w:tcPr>
            <w:tcW w:w="1704" w:type="dxa"/>
          </w:tcPr>
          <w:p w14:paraId="507E1CCD">
            <w:pPr>
              <w:spacing w:line="360" w:lineRule="auto"/>
              <w:jc w:val="center"/>
              <w:rPr>
                <w:sz w:val="24"/>
              </w:rPr>
            </w:pPr>
            <w:r>
              <w:rPr>
                <w:sz w:val="24"/>
              </w:rPr>
              <w:t>双方技术专家、系统管理员</w:t>
            </w:r>
          </w:p>
        </w:tc>
        <w:tc>
          <w:tcPr>
            <w:tcW w:w="1705" w:type="dxa"/>
          </w:tcPr>
          <w:p w14:paraId="1123B240">
            <w:pPr>
              <w:spacing w:line="360" w:lineRule="auto"/>
              <w:jc w:val="center"/>
              <w:rPr>
                <w:sz w:val="24"/>
              </w:rPr>
            </w:pPr>
            <w:r>
              <w:rPr>
                <w:sz w:val="24"/>
              </w:rPr>
              <w:t>解决具体技术难题（如接口联调、性能优化、安全策略对齐）</w:t>
            </w:r>
          </w:p>
        </w:tc>
        <w:tc>
          <w:tcPr>
            <w:tcW w:w="1705" w:type="dxa"/>
          </w:tcPr>
          <w:p w14:paraId="217A098F">
            <w:pPr>
              <w:spacing w:line="360" w:lineRule="auto"/>
              <w:jc w:val="center"/>
              <w:rPr>
                <w:sz w:val="24"/>
              </w:rPr>
            </w:pPr>
            <w:r>
              <w:rPr>
                <w:sz w:val="24"/>
              </w:rPr>
              <w:t>技术方案纪要、接口规范更新</w:t>
            </w:r>
          </w:p>
        </w:tc>
      </w:tr>
      <w:tr w14:paraId="657C6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21800285">
            <w:pPr>
              <w:spacing w:line="360" w:lineRule="auto"/>
              <w:jc w:val="center"/>
              <w:rPr>
                <w:b/>
                <w:bCs/>
                <w:sz w:val="24"/>
              </w:rPr>
            </w:pPr>
            <w:r>
              <w:rPr>
                <w:b/>
                <w:bCs/>
                <w:sz w:val="24"/>
              </w:rPr>
              <w:t>变更控制委员会会议</w:t>
            </w:r>
          </w:p>
        </w:tc>
        <w:tc>
          <w:tcPr>
            <w:tcW w:w="1704" w:type="dxa"/>
          </w:tcPr>
          <w:p w14:paraId="46ED6B9A">
            <w:pPr>
              <w:spacing w:line="360" w:lineRule="auto"/>
              <w:jc w:val="center"/>
              <w:rPr>
                <w:sz w:val="24"/>
              </w:rPr>
            </w:pPr>
            <w:r>
              <w:rPr>
                <w:sz w:val="24"/>
              </w:rPr>
              <w:t>变更提请后2日内</w:t>
            </w:r>
          </w:p>
        </w:tc>
        <w:tc>
          <w:tcPr>
            <w:tcW w:w="1704" w:type="dxa"/>
          </w:tcPr>
          <w:p w14:paraId="1D45D122">
            <w:pPr>
              <w:spacing w:line="360" w:lineRule="auto"/>
              <w:jc w:val="center"/>
              <w:rPr>
                <w:sz w:val="24"/>
              </w:rPr>
            </w:pPr>
            <w:r>
              <w:rPr>
                <w:sz w:val="24"/>
              </w:rPr>
              <w:t>双方项目经理、技术负责人、相关业务代表</w:t>
            </w:r>
          </w:p>
        </w:tc>
        <w:tc>
          <w:tcPr>
            <w:tcW w:w="1705" w:type="dxa"/>
          </w:tcPr>
          <w:p w14:paraId="1A74C531">
            <w:pPr>
              <w:spacing w:line="360" w:lineRule="auto"/>
              <w:jc w:val="center"/>
              <w:rPr>
                <w:sz w:val="24"/>
              </w:rPr>
            </w:pPr>
            <w:r>
              <w:rPr>
                <w:sz w:val="24"/>
              </w:rPr>
              <w:t>评审变更请求（RFC），评估对范围、进度、成本的影响，做出批准、否决或修改后批准的决定</w:t>
            </w:r>
          </w:p>
        </w:tc>
        <w:tc>
          <w:tcPr>
            <w:tcW w:w="1705" w:type="dxa"/>
          </w:tcPr>
          <w:p w14:paraId="0CBDB95A">
            <w:pPr>
              <w:spacing w:line="360" w:lineRule="auto"/>
              <w:jc w:val="center"/>
              <w:rPr>
                <w:sz w:val="24"/>
              </w:rPr>
            </w:pPr>
            <w:r>
              <w:rPr>
                <w:sz w:val="24"/>
              </w:rPr>
              <w:t>变更请求处理记录、更新后的基线</w:t>
            </w:r>
          </w:p>
        </w:tc>
      </w:tr>
      <w:tr w14:paraId="2EF9FE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71C62932">
            <w:pPr>
              <w:spacing w:line="360" w:lineRule="auto"/>
              <w:jc w:val="center"/>
              <w:rPr>
                <w:b/>
                <w:bCs/>
                <w:sz w:val="24"/>
              </w:rPr>
            </w:pPr>
            <w:r>
              <w:rPr>
                <w:b/>
                <w:bCs/>
                <w:sz w:val="24"/>
              </w:rPr>
              <w:t>紧急事件应急会议</w:t>
            </w:r>
          </w:p>
        </w:tc>
        <w:tc>
          <w:tcPr>
            <w:tcW w:w="1704" w:type="dxa"/>
          </w:tcPr>
          <w:p w14:paraId="5A274FA9">
            <w:pPr>
              <w:spacing w:line="360" w:lineRule="auto"/>
              <w:jc w:val="center"/>
              <w:rPr>
                <w:sz w:val="24"/>
              </w:rPr>
            </w:pPr>
            <w:r>
              <w:rPr>
                <w:sz w:val="24"/>
              </w:rPr>
              <w:t>事件触发后立即</w:t>
            </w:r>
          </w:p>
        </w:tc>
        <w:tc>
          <w:tcPr>
            <w:tcW w:w="1704" w:type="dxa"/>
          </w:tcPr>
          <w:p w14:paraId="3127E0D6">
            <w:pPr>
              <w:spacing w:line="360" w:lineRule="auto"/>
              <w:jc w:val="center"/>
              <w:rPr>
                <w:sz w:val="24"/>
              </w:rPr>
            </w:pPr>
            <w:r>
              <w:rPr>
                <w:sz w:val="24"/>
              </w:rPr>
              <w:t>事件相关各方负责人</w:t>
            </w:r>
          </w:p>
        </w:tc>
        <w:tc>
          <w:tcPr>
            <w:tcW w:w="1705" w:type="dxa"/>
          </w:tcPr>
          <w:p w14:paraId="61E92E6F">
            <w:pPr>
              <w:spacing w:line="360" w:lineRule="auto"/>
              <w:jc w:val="center"/>
              <w:rPr>
                <w:sz w:val="24"/>
              </w:rPr>
            </w:pPr>
            <w:r>
              <w:rPr>
                <w:sz w:val="24"/>
              </w:rPr>
              <w:t>通报紧急情况（如系统宕机、安全漏洞），启动应急预案，制定恢复措施，协调资源</w:t>
            </w:r>
          </w:p>
        </w:tc>
        <w:tc>
          <w:tcPr>
            <w:tcW w:w="1705" w:type="dxa"/>
          </w:tcPr>
          <w:p w14:paraId="49A7371C">
            <w:pPr>
              <w:spacing w:line="360" w:lineRule="auto"/>
              <w:jc w:val="center"/>
              <w:rPr>
                <w:sz w:val="24"/>
              </w:rPr>
            </w:pPr>
            <w:r>
              <w:rPr>
                <w:sz w:val="24"/>
              </w:rPr>
              <w:t>应急响应报告、事故处理记录</w:t>
            </w:r>
          </w:p>
        </w:tc>
      </w:tr>
    </w:tbl>
    <w:p w14:paraId="47A13EA2">
      <w:pPr>
        <w:spacing w:line="360" w:lineRule="auto"/>
        <w:jc w:val="center"/>
        <w:rPr>
          <w:sz w:val="24"/>
        </w:rPr>
      </w:pPr>
    </w:p>
    <w:p w14:paraId="0FECB3CE">
      <w:pPr>
        <w:numPr>
          <w:ilvl w:val="3"/>
          <w:numId w:val="1"/>
        </w:numPr>
        <w:spacing w:line="360" w:lineRule="auto"/>
        <w:outlineLvl w:val="3"/>
        <w:rPr>
          <w:b/>
          <w:bCs/>
          <w:sz w:val="24"/>
        </w:rPr>
      </w:pPr>
      <w:bookmarkStart w:id="74" w:name="_Toc221113299"/>
      <w:r>
        <w:rPr>
          <w:b/>
          <w:bCs/>
          <w:sz w:val="24"/>
        </w:rPr>
        <w:t>决策与沟通流程</w:t>
      </w:r>
      <w:bookmarkEnd w:id="74"/>
    </w:p>
    <w:p w14:paraId="06BAAF58">
      <w:pPr>
        <w:spacing w:line="360" w:lineRule="auto"/>
        <w:rPr>
          <w:sz w:val="24"/>
        </w:rPr>
      </w:pPr>
    </w:p>
    <w:p w14:paraId="42E57DB6">
      <w:pPr>
        <w:spacing w:line="360" w:lineRule="auto"/>
        <w:ind w:firstLine="480" w:firstLineChars="200"/>
        <w:rPr>
          <w:sz w:val="24"/>
        </w:rPr>
      </w:pPr>
      <w:r>
        <w:rPr>
          <w:sz w:val="24"/>
        </w:rPr>
        <w:t>重大变更决策流程</w:t>
      </w:r>
    </w:p>
    <w:p w14:paraId="7914988A">
      <w:pPr>
        <w:spacing w:line="360" w:lineRule="auto"/>
        <w:ind w:firstLine="480" w:firstLineChars="200"/>
        <w:rPr>
          <w:sz w:val="24"/>
        </w:rPr>
      </w:pPr>
      <w:r>
        <w:rPr>
          <w:sz w:val="24"/>
        </w:rPr>
        <w:t>提出：任何一方提交书面的《变更请求表》，描述变更内容、理由及预期影响。</w:t>
      </w:r>
    </w:p>
    <w:p w14:paraId="262CD5C7">
      <w:pPr>
        <w:spacing w:line="360" w:lineRule="auto"/>
        <w:ind w:firstLine="480" w:firstLineChars="200"/>
        <w:rPr>
          <w:sz w:val="24"/>
        </w:rPr>
      </w:pPr>
      <w:r>
        <w:rPr>
          <w:sz w:val="24"/>
        </w:rPr>
        <w:t>评估：我方项目经理组织技术团队进行影响分析（范围、工期、成本、风险）。</w:t>
      </w:r>
    </w:p>
    <w:p w14:paraId="2111FFA6">
      <w:pPr>
        <w:spacing w:line="360" w:lineRule="auto"/>
        <w:ind w:firstLine="480" w:firstLineChars="200"/>
        <w:rPr>
          <w:sz w:val="24"/>
        </w:rPr>
      </w:pPr>
      <w:r>
        <w:rPr>
          <w:sz w:val="24"/>
        </w:rPr>
        <w:t>审议：召开变更控制委员会会议，双方共同审议评估报告。</w:t>
      </w:r>
    </w:p>
    <w:p w14:paraId="4A893A4D">
      <w:pPr>
        <w:spacing w:line="360" w:lineRule="auto"/>
        <w:ind w:firstLine="480" w:firstLineChars="200"/>
        <w:rPr>
          <w:sz w:val="24"/>
        </w:rPr>
      </w:pPr>
      <w:r>
        <w:rPr>
          <w:sz w:val="24"/>
        </w:rPr>
        <w:t>决策：CCB做出批准、否决或修改后批准的决议。</w:t>
      </w:r>
    </w:p>
    <w:p w14:paraId="0D8E8241">
      <w:pPr>
        <w:spacing w:line="360" w:lineRule="auto"/>
        <w:ind w:firstLine="480" w:firstLineChars="200"/>
        <w:rPr>
          <w:sz w:val="24"/>
        </w:rPr>
      </w:pPr>
      <w:r>
        <w:rPr>
          <w:sz w:val="24"/>
        </w:rPr>
        <w:t>执行：决议批准后，更新项目基线，调整计划，通知全体成员执行。</w:t>
      </w:r>
    </w:p>
    <w:p w14:paraId="2F27A8C5">
      <w:pPr>
        <w:spacing w:line="360" w:lineRule="auto"/>
        <w:ind w:firstLine="480" w:firstLineChars="200"/>
        <w:rPr>
          <w:sz w:val="24"/>
        </w:rPr>
      </w:pPr>
      <w:r>
        <w:rPr>
          <w:sz w:val="24"/>
        </w:rPr>
        <w:t>跟踪：变更实施情况纳入周报跟踪，直至闭环。</w:t>
      </w:r>
    </w:p>
    <w:p w14:paraId="1F82470A">
      <w:pPr>
        <w:spacing w:line="360" w:lineRule="auto"/>
        <w:rPr>
          <w:sz w:val="24"/>
        </w:rPr>
      </w:pPr>
    </w:p>
    <w:p w14:paraId="63EC0A52">
      <w:pPr>
        <w:spacing w:line="360" w:lineRule="auto"/>
        <w:ind w:firstLine="480" w:firstLineChars="200"/>
        <w:rPr>
          <w:sz w:val="24"/>
        </w:rPr>
      </w:pPr>
      <w:r>
        <w:rPr>
          <w:sz w:val="24"/>
        </w:rPr>
        <w:t>信息上报与通报机制</w:t>
      </w:r>
    </w:p>
    <w:p w14:paraId="7154D4C3">
      <w:pPr>
        <w:spacing w:line="360" w:lineRule="auto"/>
        <w:ind w:firstLine="480" w:firstLineChars="200"/>
        <w:rPr>
          <w:sz w:val="24"/>
        </w:rPr>
      </w:pPr>
      <w:r>
        <w:rPr>
          <w:sz w:val="24"/>
        </w:rPr>
        <w:t>绿色（正常）：通过周报、月报例行通报。</w:t>
      </w:r>
    </w:p>
    <w:p w14:paraId="5E732909">
      <w:pPr>
        <w:spacing w:line="360" w:lineRule="auto"/>
        <w:ind w:firstLine="480" w:firstLineChars="200"/>
        <w:rPr>
          <w:sz w:val="24"/>
        </w:rPr>
      </w:pPr>
      <w:r>
        <w:rPr>
          <w:sz w:val="24"/>
        </w:rPr>
        <w:t>黄色（风险）：风险事件在24小时内通过专项报告上报双方项目经理，并同步至项目领导小组知悉。</w:t>
      </w:r>
    </w:p>
    <w:p w14:paraId="02FA2334">
      <w:pPr>
        <w:spacing w:line="360" w:lineRule="auto"/>
        <w:ind w:firstLine="480" w:firstLineChars="200"/>
        <w:rPr>
          <w:sz w:val="24"/>
        </w:rPr>
      </w:pPr>
      <w:r>
        <w:rPr>
          <w:sz w:val="24"/>
        </w:rPr>
        <w:t>红色（问题/危机）：重大问题或危机事件立即电话通知双方项目经理及技术负责人，2小时内形成书面简报上报项目领导小组，并启动应急沟通群组。</w:t>
      </w:r>
    </w:p>
    <w:p w14:paraId="512528B4">
      <w:pPr>
        <w:spacing w:line="360" w:lineRule="auto"/>
        <w:rPr>
          <w:sz w:val="24"/>
        </w:rPr>
      </w:pPr>
      <w:r>
        <w:rPr>
          <w:rFonts w:hint="eastAsia"/>
          <w:sz w:val="24"/>
        </w:rPr>
        <w:t xml:space="preserve">    示例：日常问题决策流程如图33所示。</w:t>
      </w:r>
    </w:p>
    <w:p w14:paraId="19975EAE">
      <w:pPr>
        <w:spacing w:line="360" w:lineRule="auto"/>
        <w:jc w:val="center"/>
        <w:rPr>
          <w:sz w:val="24"/>
        </w:rPr>
      </w:pPr>
    </w:p>
    <w:p w14:paraId="5F180928">
      <w:pPr>
        <w:pStyle w:val="2"/>
        <w:spacing w:line="360" w:lineRule="auto"/>
        <w:jc w:val="center"/>
        <w:rPr>
          <w:rFonts w:asciiTheme="minorHAnsi" w:hAnsiTheme="minorHAnsi" w:eastAsiaTheme="minorEastAsia"/>
          <w:b/>
          <w:bCs/>
          <w:sz w:val="21"/>
        </w:rPr>
      </w:pPr>
      <w:r>
        <w:rPr>
          <w:sz w:val="24"/>
        </w:rPr>
        <w:drawing>
          <wp:inline distT="0" distB="0" distL="114300" distR="114300">
            <wp:extent cx="3689985" cy="5814060"/>
            <wp:effectExtent l="0" t="0" r="5715" b="0"/>
            <wp:docPr id="18" name="图片 18" descr="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3.2.2.3"/>
                    <pic:cNvPicPr>
                      <a:picLocks noChangeAspect="1"/>
                    </pic:cNvPicPr>
                  </pic:nvPicPr>
                  <pic:blipFill>
                    <a:blip r:embed="rId37"/>
                    <a:stretch>
                      <a:fillRect/>
                    </a:stretch>
                  </pic:blipFill>
                  <pic:spPr>
                    <a:xfrm>
                      <a:off x="0" y="0"/>
                      <a:ext cx="3712675" cy="5849420"/>
                    </a:xfrm>
                    <a:prstGeom prst="rect">
                      <a:avLst/>
                    </a:prstGeom>
                  </pic:spPr>
                </pic:pic>
              </a:graphicData>
            </a:graphic>
          </wp:inline>
        </w:drawing>
      </w:r>
    </w:p>
    <w:p w14:paraId="38243C77">
      <w:pPr>
        <w:pStyle w:val="2"/>
        <w:spacing w:line="360" w:lineRule="auto"/>
        <w:jc w:val="center"/>
        <w:rPr>
          <w:rFonts w:asciiTheme="minorHAnsi" w:hAnsiTheme="minorHAnsi" w:eastAsiaTheme="minorEastAsia"/>
          <w:b/>
          <w:bCs/>
          <w:sz w:val="21"/>
        </w:rPr>
      </w:pPr>
      <w:r>
        <w:rPr>
          <w:rFonts w:hint="eastAsia" w:asciiTheme="minorHAnsi" w:hAnsiTheme="minorHAnsi" w:eastAsiaTheme="minorEastAsia"/>
          <w:b/>
          <w:bCs/>
          <w:sz w:val="21"/>
        </w:rPr>
        <w:t>图33 日常问题决策流程</w:t>
      </w:r>
    </w:p>
    <w:p w14:paraId="61308183">
      <w:pPr>
        <w:spacing w:line="360" w:lineRule="auto"/>
        <w:rPr>
          <w:sz w:val="24"/>
        </w:rPr>
      </w:pPr>
    </w:p>
    <w:p w14:paraId="1CE56817">
      <w:pPr>
        <w:numPr>
          <w:ilvl w:val="2"/>
          <w:numId w:val="1"/>
        </w:numPr>
        <w:spacing w:line="360" w:lineRule="auto"/>
        <w:outlineLvl w:val="2"/>
        <w:rPr>
          <w:b/>
          <w:bCs/>
          <w:sz w:val="28"/>
          <w:szCs w:val="28"/>
        </w:rPr>
      </w:pPr>
      <w:bookmarkStart w:id="75" w:name="_Toc221113300"/>
      <w:r>
        <w:rPr>
          <w:b/>
          <w:bCs/>
          <w:sz w:val="28"/>
          <w:szCs w:val="28"/>
        </w:rPr>
        <w:t>本地化资源保障</w:t>
      </w:r>
      <w:bookmarkEnd w:id="75"/>
    </w:p>
    <w:p w14:paraId="27D70A9B">
      <w:pPr>
        <w:spacing w:line="360" w:lineRule="auto"/>
        <w:rPr>
          <w:sz w:val="24"/>
        </w:rPr>
      </w:pPr>
    </w:p>
    <w:p w14:paraId="7FBEA463">
      <w:pPr>
        <w:spacing w:line="360" w:lineRule="auto"/>
        <w:ind w:firstLine="480" w:firstLineChars="200"/>
        <w:rPr>
          <w:sz w:val="24"/>
        </w:rPr>
      </w:pPr>
      <w:r>
        <w:rPr>
          <w:sz w:val="24"/>
        </w:rPr>
        <w:t>我方承诺在项目周期内，于常州市或周边区域配置可随时响应的技术支持资源。在关键阶段，如部署、集成测试、UAT支持及培训期间，确保有工程师常驻现场或能在2小时内抵达现场，以保障沟通效率与问题解决的及时性。</w:t>
      </w:r>
    </w:p>
    <w:p w14:paraId="2EE31A29">
      <w:pPr>
        <w:spacing w:line="360" w:lineRule="auto"/>
        <w:rPr>
          <w:sz w:val="24"/>
        </w:rPr>
      </w:pPr>
    </w:p>
    <w:p w14:paraId="596F5529">
      <w:pPr>
        <w:numPr>
          <w:ilvl w:val="1"/>
          <w:numId w:val="1"/>
        </w:numPr>
        <w:spacing w:line="360" w:lineRule="auto"/>
        <w:outlineLvl w:val="1"/>
        <w:rPr>
          <w:b/>
          <w:bCs/>
          <w:sz w:val="30"/>
          <w:szCs w:val="30"/>
        </w:rPr>
      </w:pPr>
      <w:bookmarkStart w:id="76" w:name="_Toc221113301"/>
      <w:r>
        <w:rPr>
          <w:b/>
          <w:bCs/>
          <w:sz w:val="30"/>
          <w:szCs w:val="30"/>
        </w:rPr>
        <w:t>详细实施阶段与里程碑计划</w:t>
      </w:r>
      <w:bookmarkEnd w:id="76"/>
    </w:p>
    <w:p w14:paraId="1F22DD90">
      <w:pPr>
        <w:spacing w:line="360" w:lineRule="auto"/>
        <w:rPr>
          <w:sz w:val="24"/>
        </w:rPr>
      </w:pPr>
    </w:p>
    <w:p w14:paraId="179AA4B9">
      <w:pPr>
        <w:spacing w:line="360" w:lineRule="auto"/>
        <w:ind w:firstLine="420" w:firstLineChars="200"/>
        <w:rPr>
          <w:sz w:val="24"/>
        </w:rPr>
      </w:pPr>
      <w:r>
        <w:drawing>
          <wp:anchor distT="0" distB="0" distL="114300" distR="114300" simplePos="0" relativeHeight="251678720" behindDoc="0" locked="0" layoutInCell="1" allowOverlap="1">
            <wp:simplePos x="0" y="0"/>
            <wp:positionH relativeFrom="column">
              <wp:posOffset>-366395</wp:posOffset>
            </wp:positionH>
            <wp:positionV relativeFrom="paragraph">
              <wp:posOffset>750570</wp:posOffset>
            </wp:positionV>
            <wp:extent cx="5992495" cy="2127250"/>
            <wp:effectExtent l="114300" t="114300" r="103505" b="139700"/>
            <wp:wrapSquare wrapText="bothSides"/>
            <wp:docPr id="14583775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377543" name="图片 1"/>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92495" cy="2127250"/>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sz w:val="24"/>
        </w:rPr>
        <w:t>整个项目周期划分为五个紧密衔接的阶段，并设定关键里程碑用于进度控制和质量把关</w:t>
      </w:r>
      <w:r>
        <w:rPr>
          <w:rFonts w:hint="eastAsia"/>
          <w:sz w:val="24"/>
        </w:rPr>
        <w:t>，其</w:t>
      </w:r>
      <w:r>
        <w:rPr>
          <w:sz w:val="24"/>
        </w:rPr>
        <w:t>实施阶段与里程碑计划</w:t>
      </w:r>
      <w:r>
        <w:rPr>
          <w:rFonts w:hint="eastAsia"/>
          <w:sz w:val="24"/>
        </w:rPr>
        <w:t>如图34与表14所示</w:t>
      </w:r>
      <w:r>
        <w:rPr>
          <w:sz w:val="24"/>
        </w:rPr>
        <w:t>。</w:t>
      </w:r>
    </w:p>
    <w:p w14:paraId="22AE04A8">
      <w:pPr>
        <w:spacing w:line="360" w:lineRule="auto"/>
        <w:jc w:val="center"/>
        <w:rPr>
          <w:b/>
          <w:bCs/>
        </w:rPr>
      </w:pPr>
      <w:r>
        <w:rPr>
          <w:rFonts w:hint="eastAsia"/>
          <w:b/>
          <w:bCs/>
        </w:rPr>
        <w:t xml:space="preserve">图34 </w:t>
      </w:r>
      <w:r>
        <w:rPr>
          <w:b/>
          <w:bCs/>
        </w:rPr>
        <w:t>实施阶段与里程碑计划</w:t>
      </w:r>
    </w:p>
    <w:p w14:paraId="08F56465">
      <w:pPr>
        <w:spacing w:line="360" w:lineRule="auto"/>
        <w:jc w:val="center"/>
        <w:rPr>
          <w:b/>
          <w:bCs/>
        </w:rPr>
      </w:pPr>
      <w:r>
        <w:rPr>
          <w:rFonts w:hint="eastAsia"/>
          <w:b/>
          <w:bCs/>
        </w:rPr>
        <w:t>表14 项目实施阶段划分、目标与里程碑计划总览表</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4"/>
        <w:gridCol w:w="1393"/>
        <w:gridCol w:w="1610"/>
        <w:gridCol w:w="2110"/>
        <w:gridCol w:w="1705"/>
      </w:tblGrid>
      <w:tr w14:paraId="4D2B0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4919357B">
            <w:pPr>
              <w:spacing w:line="360" w:lineRule="auto"/>
              <w:jc w:val="center"/>
              <w:rPr>
                <w:b/>
                <w:bCs/>
                <w:sz w:val="24"/>
              </w:rPr>
            </w:pPr>
            <w:r>
              <w:rPr>
                <w:b/>
                <w:bCs/>
                <w:sz w:val="24"/>
              </w:rPr>
              <w:t>阶段</w:t>
            </w:r>
          </w:p>
        </w:tc>
        <w:tc>
          <w:tcPr>
            <w:tcW w:w="1393" w:type="dxa"/>
          </w:tcPr>
          <w:p w14:paraId="672591C3">
            <w:pPr>
              <w:spacing w:line="360" w:lineRule="auto"/>
              <w:jc w:val="center"/>
              <w:rPr>
                <w:b/>
                <w:bCs/>
                <w:sz w:val="24"/>
              </w:rPr>
            </w:pPr>
            <w:r>
              <w:rPr>
                <w:b/>
                <w:bCs/>
                <w:sz w:val="24"/>
              </w:rPr>
              <w:t>时间范围（日历日）</w:t>
            </w:r>
          </w:p>
        </w:tc>
        <w:tc>
          <w:tcPr>
            <w:tcW w:w="1610" w:type="dxa"/>
          </w:tcPr>
          <w:p w14:paraId="2755DD21">
            <w:pPr>
              <w:spacing w:line="360" w:lineRule="auto"/>
              <w:jc w:val="center"/>
              <w:rPr>
                <w:b/>
                <w:bCs/>
                <w:sz w:val="24"/>
              </w:rPr>
            </w:pPr>
            <w:r>
              <w:rPr>
                <w:b/>
                <w:bCs/>
                <w:sz w:val="24"/>
              </w:rPr>
              <w:t>主要目标</w:t>
            </w:r>
          </w:p>
        </w:tc>
        <w:tc>
          <w:tcPr>
            <w:tcW w:w="2110" w:type="dxa"/>
          </w:tcPr>
          <w:p w14:paraId="2410F50F">
            <w:pPr>
              <w:spacing w:line="360" w:lineRule="auto"/>
              <w:jc w:val="center"/>
              <w:rPr>
                <w:b/>
                <w:bCs/>
                <w:sz w:val="24"/>
              </w:rPr>
            </w:pPr>
            <w:r>
              <w:rPr>
                <w:b/>
                <w:bCs/>
                <w:sz w:val="24"/>
              </w:rPr>
              <w:t>关键活动与交付物</w:t>
            </w:r>
          </w:p>
        </w:tc>
        <w:tc>
          <w:tcPr>
            <w:tcW w:w="1705" w:type="dxa"/>
          </w:tcPr>
          <w:p w14:paraId="39961186">
            <w:pPr>
              <w:spacing w:line="360" w:lineRule="auto"/>
              <w:jc w:val="center"/>
              <w:rPr>
                <w:b/>
                <w:bCs/>
                <w:sz w:val="24"/>
              </w:rPr>
            </w:pPr>
            <w:r>
              <w:rPr>
                <w:b/>
                <w:bCs/>
                <w:sz w:val="24"/>
              </w:rPr>
              <w:t>里程碑</w:t>
            </w:r>
          </w:p>
        </w:tc>
      </w:tr>
      <w:tr w14:paraId="66AC1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071F6DC6">
            <w:pPr>
              <w:spacing w:line="360" w:lineRule="auto"/>
              <w:jc w:val="center"/>
              <w:rPr>
                <w:b/>
                <w:bCs/>
                <w:sz w:val="24"/>
              </w:rPr>
            </w:pPr>
            <w:r>
              <w:rPr>
                <w:b/>
                <w:bCs/>
                <w:sz w:val="24"/>
              </w:rPr>
              <w:t>第一阶段：项目启动与需求深化</w:t>
            </w:r>
          </w:p>
        </w:tc>
        <w:tc>
          <w:tcPr>
            <w:tcW w:w="1393" w:type="dxa"/>
          </w:tcPr>
          <w:p w14:paraId="5BC2E752">
            <w:pPr>
              <w:spacing w:line="360" w:lineRule="auto"/>
              <w:jc w:val="left"/>
              <w:rPr>
                <w:sz w:val="24"/>
              </w:rPr>
            </w:pPr>
            <w:r>
              <w:rPr>
                <w:sz w:val="24"/>
              </w:rPr>
              <w:t>第1天 - 第10天</w:t>
            </w:r>
          </w:p>
        </w:tc>
        <w:tc>
          <w:tcPr>
            <w:tcW w:w="1610" w:type="dxa"/>
          </w:tcPr>
          <w:p w14:paraId="5F311CF0">
            <w:pPr>
              <w:spacing w:line="360" w:lineRule="auto"/>
              <w:jc w:val="left"/>
              <w:rPr>
                <w:sz w:val="24"/>
              </w:rPr>
            </w:pPr>
            <w:r>
              <w:rPr>
                <w:sz w:val="24"/>
              </w:rPr>
              <w:t>完成项目初始化，明确需求细节与部署环境。</w:t>
            </w:r>
          </w:p>
        </w:tc>
        <w:tc>
          <w:tcPr>
            <w:tcW w:w="2110" w:type="dxa"/>
          </w:tcPr>
          <w:p w14:paraId="7A300F75">
            <w:pPr>
              <w:spacing w:line="360" w:lineRule="auto"/>
              <w:jc w:val="left"/>
              <w:rPr>
                <w:sz w:val="24"/>
              </w:rPr>
            </w:pPr>
            <w:r>
              <w:rPr>
                <w:sz w:val="24"/>
              </w:rPr>
              <w:t>1. 召开项目启动会，明确双方团队及职责。</w:t>
            </w:r>
          </w:p>
          <w:p w14:paraId="20CDE767">
            <w:pPr>
              <w:spacing w:line="360" w:lineRule="auto"/>
              <w:jc w:val="left"/>
              <w:rPr>
                <w:sz w:val="24"/>
              </w:rPr>
            </w:pPr>
            <w:r>
              <w:rPr>
                <w:sz w:val="24"/>
              </w:rPr>
              <w:t>2. 逐条核对招标需求，形成并确认《详细需求规格说明书》。</w:t>
            </w:r>
          </w:p>
          <w:p w14:paraId="1633237A">
            <w:pPr>
              <w:spacing w:line="360" w:lineRule="auto"/>
              <w:jc w:val="left"/>
              <w:rPr>
                <w:sz w:val="24"/>
              </w:rPr>
            </w:pPr>
            <w:r>
              <w:rPr>
                <w:sz w:val="24"/>
              </w:rPr>
              <w:t>3. 评估甲方现有IT环境，完成《部署环境确认单》。</w:t>
            </w:r>
          </w:p>
          <w:p w14:paraId="42E4B69E">
            <w:pPr>
              <w:spacing w:line="360" w:lineRule="auto"/>
              <w:jc w:val="left"/>
              <w:rPr>
                <w:sz w:val="24"/>
              </w:rPr>
            </w:pPr>
            <w:r>
              <w:rPr>
                <w:sz w:val="24"/>
              </w:rPr>
              <w:t>4. 制定并评审《详细项目计划》。</w:t>
            </w:r>
          </w:p>
        </w:tc>
        <w:tc>
          <w:tcPr>
            <w:tcW w:w="1705" w:type="dxa"/>
          </w:tcPr>
          <w:p w14:paraId="5B3EA72F">
            <w:pPr>
              <w:spacing w:line="360" w:lineRule="auto"/>
              <w:jc w:val="left"/>
              <w:rPr>
                <w:sz w:val="24"/>
              </w:rPr>
            </w:pPr>
            <w:r>
              <w:rPr>
                <w:sz w:val="24"/>
              </w:rPr>
              <w:t>M1：需求基线冻结（第10天）</w:t>
            </w:r>
          </w:p>
          <w:p w14:paraId="0DA0A379">
            <w:pPr>
              <w:spacing w:line="360" w:lineRule="auto"/>
              <w:jc w:val="left"/>
              <w:rPr>
                <w:sz w:val="24"/>
              </w:rPr>
            </w:pPr>
            <w:r>
              <w:rPr>
                <w:sz w:val="24"/>
              </w:rPr>
              <w:t>交付《详细需求规格说明书》（确认版）、《部署环境确认单》。</w:t>
            </w:r>
          </w:p>
        </w:tc>
      </w:tr>
      <w:tr w14:paraId="59CB5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72854310">
            <w:pPr>
              <w:spacing w:line="360" w:lineRule="auto"/>
              <w:jc w:val="center"/>
              <w:rPr>
                <w:b/>
                <w:bCs/>
                <w:sz w:val="24"/>
              </w:rPr>
            </w:pPr>
            <w:r>
              <w:rPr>
                <w:b/>
                <w:bCs/>
                <w:sz w:val="24"/>
              </w:rPr>
              <w:t>第二阶段：平台部署与核心模块开发</w:t>
            </w:r>
          </w:p>
        </w:tc>
        <w:tc>
          <w:tcPr>
            <w:tcW w:w="1393" w:type="dxa"/>
          </w:tcPr>
          <w:p w14:paraId="7D6AA017">
            <w:pPr>
              <w:spacing w:line="360" w:lineRule="auto"/>
              <w:jc w:val="left"/>
              <w:rPr>
                <w:sz w:val="24"/>
              </w:rPr>
            </w:pPr>
            <w:r>
              <w:rPr>
                <w:sz w:val="24"/>
              </w:rPr>
              <w:t>第5天 - 第35天</w:t>
            </w:r>
          </w:p>
        </w:tc>
        <w:tc>
          <w:tcPr>
            <w:tcW w:w="1610" w:type="dxa"/>
          </w:tcPr>
          <w:p w14:paraId="7E8C861E">
            <w:pPr>
              <w:spacing w:line="360" w:lineRule="auto"/>
              <w:jc w:val="left"/>
              <w:rPr>
                <w:sz w:val="24"/>
              </w:rPr>
            </w:pPr>
            <w:r>
              <w:rPr>
                <w:sz w:val="24"/>
              </w:rPr>
              <w:t>完成基础平台部署，并行开发核心功能模块</w:t>
            </w:r>
          </w:p>
        </w:tc>
        <w:tc>
          <w:tcPr>
            <w:tcW w:w="2110" w:type="dxa"/>
          </w:tcPr>
          <w:p w14:paraId="70021F29">
            <w:pPr>
              <w:spacing w:line="360" w:lineRule="auto"/>
              <w:jc w:val="left"/>
              <w:rPr>
                <w:sz w:val="24"/>
              </w:rPr>
            </w:pPr>
            <w:r>
              <w:rPr>
                <w:sz w:val="24"/>
              </w:rPr>
              <w:t>1. 并行任务1（部署）：服务器环境准备、基础软件安装、平台框架部署。</w:t>
            </w:r>
          </w:p>
          <w:p w14:paraId="1C726840">
            <w:pPr>
              <w:spacing w:line="360" w:lineRule="auto"/>
              <w:jc w:val="left"/>
              <w:rPr>
                <w:sz w:val="24"/>
              </w:rPr>
            </w:pPr>
            <w:r>
              <w:rPr>
                <w:sz w:val="24"/>
              </w:rPr>
              <w:t>2. 并行任务2（开发）：分模块进行数据湖管理、知识库管理、AI引擎、AI应用开发等核心功能编码。</w:t>
            </w:r>
          </w:p>
          <w:p w14:paraId="6C161891">
            <w:pPr>
              <w:spacing w:line="360" w:lineRule="auto"/>
              <w:jc w:val="left"/>
              <w:rPr>
                <w:sz w:val="24"/>
              </w:rPr>
            </w:pPr>
            <w:r>
              <w:rPr>
                <w:sz w:val="24"/>
              </w:rPr>
              <w:t>3. 早期集成：完成一个模块即进行初步集成测试。</w:t>
            </w:r>
          </w:p>
        </w:tc>
        <w:tc>
          <w:tcPr>
            <w:tcW w:w="1705" w:type="dxa"/>
          </w:tcPr>
          <w:p w14:paraId="26B97128">
            <w:pPr>
              <w:spacing w:line="360" w:lineRule="auto"/>
              <w:jc w:val="left"/>
              <w:rPr>
                <w:sz w:val="24"/>
              </w:rPr>
            </w:pPr>
            <w:r>
              <w:rPr>
                <w:sz w:val="24"/>
              </w:rPr>
              <w:t>M2：基础平台就绪与首模块可用（第20天）</w:t>
            </w:r>
          </w:p>
          <w:p w14:paraId="3336D663">
            <w:pPr>
              <w:spacing w:line="360" w:lineRule="auto"/>
              <w:jc w:val="left"/>
              <w:rPr>
                <w:sz w:val="24"/>
              </w:rPr>
            </w:pPr>
            <w:r>
              <w:rPr>
                <w:sz w:val="24"/>
              </w:rPr>
              <w:t>完成平台基础部署，数据源管理模块达到可用状态。</w:t>
            </w:r>
          </w:p>
        </w:tc>
      </w:tr>
      <w:tr w14:paraId="540E8F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69240D54">
            <w:pPr>
              <w:spacing w:line="360" w:lineRule="auto"/>
              <w:jc w:val="center"/>
              <w:rPr>
                <w:b/>
                <w:bCs/>
                <w:sz w:val="24"/>
              </w:rPr>
            </w:pPr>
            <w:r>
              <w:rPr>
                <w:b/>
                <w:bCs/>
                <w:sz w:val="24"/>
              </w:rPr>
              <w:t>第三阶段：功能集成与内部测试</w:t>
            </w:r>
          </w:p>
        </w:tc>
        <w:tc>
          <w:tcPr>
            <w:tcW w:w="1393" w:type="dxa"/>
          </w:tcPr>
          <w:p w14:paraId="272045E7">
            <w:pPr>
              <w:spacing w:line="360" w:lineRule="auto"/>
              <w:jc w:val="left"/>
              <w:rPr>
                <w:sz w:val="24"/>
              </w:rPr>
            </w:pPr>
            <w:r>
              <w:rPr>
                <w:sz w:val="24"/>
              </w:rPr>
              <w:t>第25天 - 第50天</w:t>
            </w:r>
          </w:p>
        </w:tc>
        <w:tc>
          <w:tcPr>
            <w:tcW w:w="1610" w:type="dxa"/>
          </w:tcPr>
          <w:p w14:paraId="1C268876">
            <w:pPr>
              <w:spacing w:line="360" w:lineRule="auto"/>
              <w:jc w:val="left"/>
              <w:rPr>
                <w:sz w:val="24"/>
              </w:rPr>
            </w:pPr>
            <w:r>
              <w:rPr>
                <w:sz w:val="24"/>
              </w:rPr>
              <w:t>完成所有功能集成，进行全面的内部测试</w:t>
            </w:r>
          </w:p>
        </w:tc>
        <w:tc>
          <w:tcPr>
            <w:tcW w:w="2110" w:type="dxa"/>
          </w:tcPr>
          <w:p w14:paraId="0D4DCCAB">
            <w:pPr>
              <w:spacing w:line="360" w:lineRule="auto"/>
              <w:jc w:val="left"/>
              <w:rPr>
                <w:sz w:val="24"/>
              </w:rPr>
            </w:pPr>
            <w:r>
              <w:rPr>
                <w:sz w:val="24"/>
              </w:rPr>
              <w:t>1. 进行系统集成，连接所有模块。</w:t>
            </w:r>
          </w:p>
          <w:p w14:paraId="7CB17FA1">
            <w:pPr>
              <w:spacing w:line="360" w:lineRule="auto"/>
              <w:jc w:val="left"/>
              <w:rPr>
                <w:sz w:val="24"/>
              </w:rPr>
            </w:pPr>
            <w:r>
              <w:rPr>
                <w:sz w:val="24"/>
              </w:rPr>
              <w:t>2. 执行功能测试、性能测试、安全性测试。</w:t>
            </w:r>
          </w:p>
          <w:p w14:paraId="407A3694">
            <w:pPr>
              <w:spacing w:line="360" w:lineRule="auto"/>
              <w:jc w:val="left"/>
              <w:rPr>
                <w:sz w:val="24"/>
              </w:rPr>
            </w:pPr>
            <w:r>
              <w:rPr>
                <w:sz w:val="24"/>
              </w:rPr>
              <w:t>3. 邀请甲方关键用户对“AI问数”等演示功能进行早期体验与反馈。</w:t>
            </w:r>
          </w:p>
          <w:p w14:paraId="2B8CA59B">
            <w:pPr>
              <w:spacing w:line="360" w:lineRule="auto"/>
              <w:jc w:val="left"/>
              <w:rPr>
                <w:sz w:val="24"/>
              </w:rPr>
            </w:pPr>
            <w:r>
              <w:rPr>
                <w:sz w:val="24"/>
              </w:rPr>
              <w:t>4. 修复测试中发现的所有缺陷。</w:t>
            </w:r>
          </w:p>
        </w:tc>
        <w:tc>
          <w:tcPr>
            <w:tcW w:w="1705" w:type="dxa"/>
          </w:tcPr>
          <w:p w14:paraId="4DB9FCFB">
            <w:pPr>
              <w:spacing w:line="360" w:lineRule="auto"/>
              <w:jc w:val="left"/>
              <w:rPr>
                <w:sz w:val="24"/>
              </w:rPr>
            </w:pPr>
            <w:r>
              <w:rPr>
                <w:sz w:val="24"/>
              </w:rPr>
              <w:t>M3：集成测试完成，Beta版发布（第40天）</w:t>
            </w:r>
          </w:p>
          <w:p w14:paraId="732B0292">
            <w:pPr>
              <w:spacing w:line="360" w:lineRule="auto"/>
              <w:jc w:val="left"/>
              <w:rPr>
                <w:sz w:val="24"/>
              </w:rPr>
            </w:pPr>
            <w:r>
              <w:rPr>
                <w:sz w:val="24"/>
              </w:rPr>
              <w:t>交付可供UAT的Beta版本系统及《内部测试报告》。</w:t>
            </w:r>
          </w:p>
        </w:tc>
      </w:tr>
      <w:tr w14:paraId="7D56C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4DA8DF3E">
            <w:pPr>
              <w:spacing w:line="360" w:lineRule="auto"/>
              <w:jc w:val="center"/>
              <w:rPr>
                <w:b/>
                <w:bCs/>
                <w:sz w:val="24"/>
              </w:rPr>
            </w:pPr>
            <w:r>
              <w:rPr>
                <w:b/>
                <w:bCs/>
                <w:sz w:val="24"/>
              </w:rPr>
              <w:t>第四阶段：用户验收测试（UAT）与培训</w:t>
            </w:r>
          </w:p>
        </w:tc>
        <w:tc>
          <w:tcPr>
            <w:tcW w:w="1393" w:type="dxa"/>
          </w:tcPr>
          <w:p w14:paraId="62891980">
            <w:pPr>
              <w:spacing w:line="360" w:lineRule="auto"/>
              <w:jc w:val="left"/>
              <w:rPr>
                <w:sz w:val="24"/>
              </w:rPr>
            </w:pPr>
            <w:r>
              <w:rPr>
                <w:sz w:val="24"/>
              </w:rPr>
              <w:t>第45天 - 第55天</w:t>
            </w:r>
          </w:p>
        </w:tc>
        <w:tc>
          <w:tcPr>
            <w:tcW w:w="1610" w:type="dxa"/>
          </w:tcPr>
          <w:p w14:paraId="40A42462">
            <w:pPr>
              <w:spacing w:line="360" w:lineRule="auto"/>
              <w:jc w:val="left"/>
              <w:rPr>
                <w:sz w:val="24"/>
              </w:rPr>
            </w:pPr>
            <w:r>
              <w:rPr>
                <w:sz w:val="24"/>
              </w:rPr>
              <w:t>甲方主导进行正式验收测试，我方提供支持并完成用户培训</w:t>
            </w:r>
            <w:r>
              <w:rPr>
                <w:rFonts w:hint="eastAsia"/>
                <w:sz w:val="24"/>
              </w:rPr>
              <w:t>。</w:t>
            </w:r>
          </w:p>
        </w:tc>
        <w:tc>
          <w:tcPr>
            <w:tcW w:w="2110" w:type="dxa"/>
          </w:tcPr>
          <w:p w14:paraId="7414981E">
            <w:pPr>
              <w:spacing w:line="360" w:lineRule="auto"/>
              <w:jc w:val="left"/>
              <w:rPr>
                <w:sz w:val="24"/>
              </w:rPr>
            </w:pPr>
            <w:r>
              <w:rPr>
                <w:sz w:val="24"/>
              </w:rPr>
              <w:t>1. 协助甲方制定《UAT测试用例》。</w:t>
            </w:r>
          </w:p>
          <w:p w14:paraId="551CB2E7">
            <w:pPr>
              <w:spacing w:line="360" w:lineRule="auto"/>
              <w:jc w:val="left"/>
              <w:rPr>
                <w:sz w:val="24"/>
              </w:rPr>
            </w:pPr>
            <w:r>
              <w:rPr>
                <w:sz w:val="24"/>
              </w:rPr>
              <w:t>2. 成立UAT专项支持组，提供7*24小时远程支持，对问题实行“24小时修复”承诺。</w:t>
            </w:r>
          </w:p>
          <w:p w14:paraId="4908396F">
            <w:pPr>
              <w:spacing w:line="360" w:lineRule="auto"/>
              <w:jc w:val="left"/>
              <w:rPr>
                <w:sz w:val="24"/>
              </w:rPr>
            </w:pPr>
            <w:r>
              <w:rPr>
                <w:sz w:val="24"/>
              </w:rPr>
              <w:t>3. 并行开展系统管理员培训和最终用户操作培训。</w:t>
            </w:r>
          </w:p>
          <w:p w14:paraId="5B903848">
            <w:pPr>
              <w:spacing w:line="360" w:lineRule="auto"/>
              <w:jc w:val="left"/>
              <w:rPr>
                <w:sz w:val="24"/>
              </w:rPr>
            </w:pPr>
            <w:r>
              <w:rPr>
                <w:sz w:val="24"/>
              </w:rPr>
              <w:t>4. 根据UAT反馈进行最终优化。</w:t>
            </w:r>
          </w:p>
        </w:tc>
        <w:tc>
          <w:tcPr>
            <w:tcW w:w="1705" w:type="dxa"/>
          </w:tcPr>
          <w:p w14:paraId="46CBFDA5">
            <w:pPr>
              <w:spacing w:line="360" w:lineRule="auto"/>
              <w:jc w:val="left"/>
              <w:rPr>
                <w:sz w:val="24"/>
              </w:rPr>
            </w:pPr>
            <w:r>
              <w:rPr>
                <w:sz w:val="24"/>
              </w:rPr>
              <w:t>M4：UAT通过与培训完成（第55天）</w:t>
            </w:r>
          </w:p>
          <w:p w14:paraId="1ACE7477">
            <w:pPr>
              <w:spacing w:line="360" w:lineRule="auto"/>
              <w:jc w:val="left"/>
              <w:rPr>
                <w:sz w:val="24"/>
              </w:rPr>
            </w:pPr>
            <w:r>
              <w:rPr>
                <w:sz w:val="24"/>
              </w:rPr>
              <w:t>获取甲方签署的《UAT通过确认书》，完成所有培训并提交《培训签到记录》、《系统操作手册》。</w:t>
            </w:r>
          </w:p>
        </w:tc>
      </w:tr>
      <w:tr w14:paraId="6FA96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04C4440C">
            <w:pPr>
              <w:spacing w:line="360" w:lineRule="auto"/>
              <w:jc w:val="center"/>
              <w:rPr>
                <w:b/>
                <w:bCs/>
                <w:sz w:val="24"/>
              </w:rPr>
            </w:pPr>
            <w:r>
              <w:rPr>
                <w:b/>
                <w:bCs/>
                <w:sz w:val="24"/>
              </w:rPr>
              <w:t>第五阶段：项目验收与交付</w:t>
            </w:r>
          </w:p>
        </w:tc>
        <w:tc>
          <w:tcPr>
            <w:tcW w:w="1393" w:type="dxa"/>
          </w:tcPr>
          <w:p w14:paraId="78732525">
            <w:pPr>
              <w:spacing w:line="360" w:lineRule="auto"/>
              <w:jc w:val="left"/>
              <w:rPr>
                <w:sz w:val="24"/>
              </w:rPr>
            </w:pPr>
            <w:r>
              <w:rPr>
                <w:sz w:val="24"/>
              </w:rPr>
              <w:t>第56天 - 第60天</w:t>
            </w:r>
          </w:p>
        </w:tc>
        <w:tc>
          <w:tcPr>
            <w:tcW w:w="1610" w:type="dxa"/>
          </w:tcPr>
          <w:p w14:paraId="746503C2">
            <w:pPr>
              <w:spacing w:line="360" w:lineRule="auto"/>
              <w:jc w:val="left"/>
              <w:rPr>
                <w:sz w:val="24"/>
              </w:rPr>
            </w:pPr>
            <w:r>
              <w:rPr>
                <w:sz w:val="24"/>
              </w:rPr>
              <w:t>完成最终验收，正式交付系统及全部文档。</w:t>
            </w:r>
          </w:p>
        </w:tc>
        <w:tc>
          <w:tcPr>
            <w:tcW w:w="2110" w:type="dxa"/>
          </w:tcPr>
          <w:p w14:paraId="624E2B7A">
            <w:pPr>
              <w:spacing w:line="360" w:lineRule="auto"/>
              <w:jc w:val="left"/>
              <w:rPr>
                <w:sz w:val="24"/>
              </w:rPr>
            </w:pPr>
            <w:r>
              <w:rPr>
                <w:sz w:val="24"/>
              </w:rPr>
              <w:t>1. 召开项目验收评审会。</w:t>
            </w:r>
          </w:p>
          <w:p w14:paraId="6BE6C6DA">
            <w:pPr>
              <w:spacing w:line="360" w:lineRule="auto"/>
              <w:jc w:val="left"/>
              <w:rPr>
                <w:sz w:val="24"/>
              </w:rPr>
            </w:pPr>
            <w:r>
              <w:rPr>
                <w:sz w:val="24"/>
              </w:rPr>
              <w:t>2. 双方签署《项目终验报告》。</w:t>
            </w:r>
          </w:p>
          <w:p w14:paraId="0F6789BE">
            <w:pPr>
              <w:spacing w:line="360" w:lineRule="auto"/>
              <w:jc w:val="left"/>
              <w:rPr>
                <w:sz w:val="24"/>
              </w:rPr>
            </w:pPr>
            <w:r>
              <w:rPr>
                <w:sz w:val="24"/>
              </w:rPr>
              <w:t>3. 交付全部合同约定的成果物（系统、源代码、技术文档等）。</w:t>
            </w:r>
          </w:p>
          <w:p w14:paraId="121BEAE9">
            <w:pPr>
              <w:spacing w:line="360" w:lineRule="auto"/>
              <w:jc w:val="left"/>
              <w:rPr>
                <w:sz w:val="24"/>
              </w:rPr>
            </w:pPr>
            <w:r>
              <w:rPr>
                <w:sz w:val="24"/>
              </w:rPr>
              <w:t>4. 进行项目交接。</w:t>
            </w:r>
          </w:p>
        </w:tc>
        <w:tc>
          <w:tcPr>
            <w:tcW w:w="1705" w:type="dxa"/>
          </w:tcPr>
          <w:p w14:paraId="540F988D">
            <w:pPr>
              <w:spacing w:line="360" w:lineRule="auto"/>
              <w:jc w:val="left"/>
              <w:rPr>
                <w:sz w:val="24"/>
              </w:rPr>
            </w:pPr>
            <w:r>
              <w:rPr>
                <w:sz w:val="24"/>
              </w:rPr>
              <w:t>M5：项目终验（第60天）</w:t>
            </w:r>
          </w:p>
          <w:p w14:paraId="755C43FE">
            <w:pPr>
              <w:spacing w:line="360" w:lineRule="auto"/>
              <w:jc w:val="left"/>
              <w:rPr>
                <w:sz w:val="24"/>
              </w:rPr>
            </w:pPr>
            <w:r>
              <w:rPr>
                <w:sz w:val="24"/>
              </w:rPr>
              <w:t>交付《项目终验报告》、《最终交付物清单》，项目进入质保期。</w:t>
            </w:r>
          </w:p>
        </w:tc>
      </w:tr>
    </w:tbl>
    <w:p w14:paraId="5004EFBA">
      <w:pPr>
        <w:spacing w:line="360" w:lineRule="auto"/>
        <w:jc w:val="center"/>
        <w:rPr>
          <w:sz w:val="24"/>
        </w:rPr>
      </w:pPr>
    </w:p>
    <w:p w14:paraId="686D88D0">
      <w:pPr>
        <w:numPr>
          <w:ilvl w:val="1"/>
          <w:numId w:val="1"/>
        </w:numPr>
        <w:spacing w:line="360" w:lineRule="auto"/>
        <w:outlineLvl w:val="1"/>
        <w:rPr>
          <w:b/>
          <w:bCs/>
          <w:sz w:val="30"/>
          <w:szCs w:val="30"/>
        </w:rPr>
      </w:pPr>
      <w:bookmarkStart w:id="77" w:name="_Toc221113302"/>
      <w:r>
        <w:rPr>
          <w:b/>
          <w:bCs/>
          <w:sz w:val="30"/>
          <w:szCs w:val="30"/>
        </w:rPr>
        <w:t>核心管理保障措施</w:t>
      </w:r>
      <w:bookmarkEnd w:id="77"/>
    </w:p>
    <w:p w14:paraId="4D267006">
      <w:pPr>
        <w:spacing w:line="360" w:lineRule="auto"/>
        <w:rPr>
          <w:sz w:val="24"/>
        </w:rPr>
      </w:pPr>
    </w:p>
    <w:p w14:paraId="56A47590">
      <w:pPr>
        <w:spacing w:line="360" w:lineRule="auto"/>
        <w:ind w:firstLine="480" w:firstLineChars="200"/>
        <w:rPr>
          <w:sz w:val="24"/>
        </w:rPr>
      </w:pPr>
      <w:r>
        <w:rPr>
          <w:sz w:val="24"/>
        </w:rPr>
        <w:t>为确保本项目在60日历日的紧凑周期内平稳、高效推进并成功交付，我们构建了一套多维度的核心管理保障体系</w:t>
      </w:r>
      <w:r>
        <w:rPr>
          <w:rFonts w:hint="eastAsia"/>
          <w:sz w:val="24"/>
        </w:rPr>
        <w:t>（如图35所示）</w:t>
      </w:r>
      <w:r>
        <w:rPr>
          <w:sz w:val="24"/>
        </w:rPr>
        <w:t>。该体系以双重进度监控为核心驱动，通过宏观的甘特图工具实时追踪整体进度与里程碑偏差，并结合微观的每日团队站会，同步进展、即时识别并协调解决任务阻塞，力求实现“日清日结”，确保项目节奏始终受控。</w:t>
      </w:r>
    </w:p>
    <w:p w14:paraId="7E3EF7EA">
      <w:pPr>
        <w:spacing w:line="360" w:lineRule="auto"/>
        <w:jc w:val="center"/>
        <w:rPr>
          <w:b/>
          <w:bCs/>
        </w:rPr>
      </w:pPr>
      <w:r>
        <w:drawing>
          <wp:anchor distT="0" distB="0" distL="114300" distR="114300" simplePos="0" relativeHeight="251677696" behindDoc="0" locked="0" layoutInCell="1" allowOverlap="1">
            <wp:simplePos x="0" y="0"/>
            <wp:positionH relativeFrom="column">
              <wp:posOffset>-260350</wp:posOffset>
            </wp:positionH>
            <wp:positionV relativeFrom="paragraph">
              <wp:posOffset>114300</wp:posOffset>
            </wp:positionV>
            <wp:extent cx="5782310" cy="3089275"/>
            <wp:effectExtent l="114300" t="114300" r="142240" b="149225"/>
            <wp:wrapSquare wrapText="bothSides"/>
            <wp:docPr id="20194001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400121" name="图片 1"/>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82310" cy="3089275"/>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rFonts w:hint="eastAsia"/>
          <w:b/>
          <w:bCs/>
        </w:rPr>
        <w:t>图35 核心管理保障措施</w:t>
      </w:r>
    </w:p>
    <w:p w14:paraId="50B9CDB5">
      <w:pPr>
        <w:spacing w:line="360" w:lineRule="auto"/>
        <w:ind w:firstLine="480" w:firstLineChars="200"/>
        <w:rPr>
          <w:sz w:val="24"/>
        </w:rPr>
      </w:pPr>
      <w:r>
        <w:rPr>
          <w:sz w:val="24"/>
        </w:rPr>
        <w:t>我们严格执行阶段化质量门禁，在项目规划的每个关键里程碑（M1-M5）均设立明确的质量检查点。只有当该阶段所有交付物通过联合评审，并确认符合预定的质量标准后，项目方可获准进入下一阶段，从而系统性保障最终成果的可靠性与符合性。</w:t>
      </w:r>
    </w:p>
    <w:p w14:paraId="031582C8">
      <w:pPr>
        <w:spacing w:line="360" w:lineRule="auto"/>
        <w:ind w:firstLine="480" w:firstLineChars="200"/>
        <w:rPr>
          <w:sz w:val="24"/>
        </w:rPr>
      </w:pPr>
    </w:p>
    <w:p w14:paraId="6B46E6F4">
      <w:pPr>
        <w:spacing w:line="360" w:lineRule="auto"/>
        <w:ind w:firstLine="480" w:firstLineChars="200"/>
        <w:rPr>
          <w:sz w:val="24"/>
        </w:rPr>
      </w:pPr>
      <w:r>
        <w:rPr>
          <w:sz w:val="24"/>
        </w:rPr>
        <w:t>针对项目实施中的潜在不确定性，我们制定了前瞻性的风险管理与应急预案。对于人员风险，为关键岗位配置AB角；对于技术风险，特别是与校本数据中心对接等非标接口，预备了至少一种备选技术方案；在进度层面，总体计划中已科学内置约5天的“管理缓冲时间”，以有效吸收不可预见的微小延误，捍卫最终交付日期的刚性。</w:t>
      </w:r>
    </w:p>
    <w:p w14:paraId="1A17169B">
      <w:pPr>
        <w:spacing w:line="360" w:lineRule="auto"/>
        <w:ind w:firstLine="480" w:firstLineChars="200"/>
        <w:rPr>
          <w:sz w:val="24"/>
        </w:rPr>
      </w:pPr>
    </w:p>
    <w:p w14:paraId="02CAFB60">
      <w:pPr>
        <w:spacing w:line="360" w:lineRule="auto"/>
        <w:ind w:firstLine="480" w:firstLineChars="200"/>
        <w:rPr>
          <w:sz w:val="24"/>
        </w:rPr>
      </w:pPr>
      <w:r>
        <w:rPr>
          <w:sz w:val="24"/>
        </w:rPr>
        <w:t>此外，我们建立了层级清晰、响应迅速的高效沟通机制。日常通过项目组内部站会保持敏捷协同；每周举行双方项目经理例会，集中汇报进展、同步风险、决策关键议题；利用专用即时通讯群组实现随时随地的快速响应与问题沟通；并在每个阶段结束时召开正式评审会，向双方领导小组进行总结汇报，确保信息透明、决策及时、各方始终对齐。</w:t>
      </w:r>
    </w:p>
    <w:p w14:paraId="401A34CB">
      <w:pPr>
        <w:spacing w:line="360" w:lineRule="auto"/>
        <w:rPr>
          <w:sz w:val="24"/>
        </w:rPr>
      </w:pPr>
    </w:p>
    <w:p w14:paraId="48681BF3">
      <w:pPr>
        <w:numPr>
          <w:ilvl w:val="1"/>
          <w:numId w:val="1"/>
        </w:numPr>
        <w:spacing w:line="360" w:lineRule="auto"/>
        <w:outlineLvl w:val="1"/>
        <w:rPr>
          <w:b/>
          <w:bCs/>
          <w:sz w:val="30"/>
          <w:szCs w:val="30"/>
        </w:rPr>
      </w:pPr>
      <w:bookmarkStart w:id="78" w:name="_Toc221113303"/>
      <w:r>
        <w:rPr>
          <w:b/>
          <w:bCs/>
          <w:sz w:val="30"/>
          <w:szCs w:val="30"/>
        </w:rPr>
        <w:t>特别说明</w:t>
      </w:r>
      <w:bookmarkEnd w:id="78"/>
    </w:p>
    <w:p w14:paraId="5D051FB4">
      <w:pPr>
        <w:spacing w:line="360" w:lineRule="auto"/>
        <w:rPr>
          <w:sz w:val="24"/>
        </w:rPr>
      </w:pPr>
    </w:p>
    <w:p w14:paraId="289E21D8">
      <w:pPr>
        <w:spacing w:line="360" w:lineRule="auto"/>
        <w:ind w:firstLine="480" w:firstLineChars="200"/>
        <w:rPr>
          <w:sz w:val="24"/>
        </w:rPr>
      </w:pPr>
      <w:r>
        <w:rPr>
          <w:sz w:val="24"/>
        </w:rPr>
        <w:t>我方郑重承诺，将在合同签订之日起的 60个日历日内，完成“常州工程职业技术学院AI数智集成与开发管理平台”的全部交付工作并通过采购方验收。此承诺基于以下坚实保障：</w:t>
      </w:r>
    </w:p>
    <w:p w14:paraId="5585330F">
      <w:pPr>
        <w:spacing w:line="360" w:lineRule="auto"/>
        <w:ind w:firstLine="480" w:firstLineChars="200"/>
        <w:rPr>
          <w:sz w:val="24"/>
        </w:rPr>
      </w:pPr>
    </w:p>
    <w:p w14:paraId="7204AD40">
      <w:pPr>
        <w:spacing w:line="360" w:lineRule="auto"/>
        <w:ind w:firstLine="480" w:firstLineChars="200"/>
        <w:rPr>
          <w:sz w:val="24"/>
        </w:rPr>
      </w:pPr>
      <w:r>
        <w:rPr>
          <w:sz w:val="24"/>
        </w:rPr>
        <w:t>成熟的产品底座：我方所提供的平台基于经过多个项目验证的成熟产品内核进行配置与定制开发，大部分核心功能模块可复用或快速适配，极大降低了从零开发的技术风险与时间成本。</w:t>
      </w:r>
    </w:p>
    <w:p w14:paraId="3877522F">
      <w:pPr>
        <w:spacing w:line="360" w:lineRule="auto"/>
        <w:ind w:firstLine="480" w:firstLineChars="200"/>
        <w:rPr>
          <w:sz w:val="24"/>
        </w:rPr>
      </w:pPr>
      <w:r>
        <w:rPr>
          <w:sz w:val="24"/>
        </w:rPr>
        <w:t>可验证的项目经验：我司拥有类似规模、类似复杂度的行业数字化平台交付成功案例，所积累的实施方案、管理流程和风险应对措施可直接应用于本项目。</w:t>
      </w:r>
    </w:p>
    <w:p w14:paraId="54989822">
      <w:pPr>
        <w:spacing w:line="360" w:lineRule="auto"/>
        <w:ind w:firstLine="480" w:firstLineChars="200"/>
        <w:rPr>
          <w:sz w:val="24"/>
        </w:rPr>
      </w:pPr>
      <w:r>
        <w:rPr>
          <w:sz w:val="24"/>
        </w:rPr>
        <w:t>科学紧凑的计划：本项目计划是在充分考虑招标文件所有技术要求、服务需求及演示项目的基础上，运用科学的项目管理方法（如关键路径法、并行工程）制定的。它既体现了时间的紧迫性，也预留了合理的风险缓冲，是一份可执行、可监控、可达成的路线图。</w:t>
      </w:r>
    </w:p>
    <w:p w14:paraId="7D113FFE">
      <w:pPr>
        <w:spacing w:line="360" w:lineRule="auto"/>
        <w:ind w:firstLine="480" w:firstLineChars="200"/>
        <w:rPr>
          <w:sz w:val="24"/>
        </w:rPr>
      </w:pPr>
      <w:r>
        <w:rPr>
          <w:sz w:val="24"/>
        </w:rPr>
        <w:t>充足的资源投入：我方将为本项目配备一支全职、高效、经验丰富的项目团队，并确保其在整个项目周期内的专注投入。同时，公司层面将提供所需的一切技术、后勤与管理支持，作为项目的坚强后盾。</w:t>
      </w:r>
    </w:p>
    <w:p w14:paraId="19D0E5D7">
      <w:pPr>
        <w:spacing w:line="360" w:lineRule="auto"/>
        <w:ind w:firstLine="480" w:firstLineChars="200"/>
        <w:rPr>
          <w:sz w:val="24"/>
        </w:rPr>
      </w:pPr>
    </w:p>
    <w:p w14:paraId="7E0E389A">
      <w:pPr>
        <w:spacing w:line="360" w:lineRule="auto"/>
        <w:ind w:firstLine="480" w:firstLineChars="200"/>
        <w:rPr>
          <w:sz w:val="24"/>
        </w:rPr>
      </w:pPr>
      <w:r>
        <w:rPr>
          <w:sz w:val="24"/>
        </w:rPr>
        <w:t>通过上述策略、组织、计划和保障措施的多维结合，我方有信心、有能力确保本项目按期、保质、保量成功交付。</w:t>
      </w:r>
    </w:p>
    <w:p w14:paraId="029E6170">
      <w:pPr>
        <w:spacing w:line="360" w:lineRule="auto"/>
        <w:ind w:firstLine="480" w:firstLineChars="200"/>
        <w:rPr>
          <w:sz w:val="24"/>
        </w:rPr>
      </w:pPr>
    </w:p>
    <w:p w14:paraId="110CB1F9">
      <w:pPr>
        <w:spacing w:line="360" w:lineRule="auto"/>
        <w:ind w:firstLine="480" w:firstLineChars="200"/>
        <w:rPr>
          <w:sz w:val="24"/>
        </w:rPr>
      </w:pPr>
    </w:p>
    <w:p w14:paraId="2F145E59">
      <w:pPr>
        <w:spacing w:line="360" w:lineRule="auto"/>
        <w:ind w:firstLine="480" w:firstLineChars="200"/>
        <w:rPr>
          <w:sz w:val="24"/>
        </w:rPr>
      </w:pPr>
    </w:p>
    <w:p w14:paraId="3B74525A">
      <w:pPr>
        <w:spacing w:line="360" w:lineRule="auto"/>
        <w:ind w:firstLine="480" w:firstLineChars="200"/>
        <w:rPr>
          <w:sz w:val="24"/>
        </w:rPr>
      </w:pPr>
    </w:p>
    <w:p w14:paraId="78880E40">
      <w:pPr>
        <w:spacing w:line="360" w:lineRule="auto"/>
        <w:ind w:firstLine="480" w:firstLineChars="200"/>
        <w:rPr>
          <w:sz w:val="24"/>
        </w:rPr>
      </w:pPr>
    </w:p>
    <w:p w14:paraId="16979900">
      <w:pPr>
        <w:spacing w:line="360" w:lineRule="auto"/>
        <w:ind w:firstLine="480" w:firstLineChars="200"/>
        <w:rPr>
          <w:sz w:val="24"/>
        </w:rPr>
      </w:pPr>
    </w:p>
    <w:p w14:paraId="056D8B4C">
      <w:pPr>
        <w:numPr>
          <w:ilvl w:val="0"/>
          <w:numId w:val="1"/>
        </w:numPr>
        <w:spacing w:line="360" w:lineRule="auto"/>
        <w:outlineLvl w:val="0"/>
        <w:rPr>
          <w:b/>
          <w:bCs/>
          <w:sz w:val="32"/>
          <w:szCs w:val="32"/>
        </w:rPr>
      </w:pPr>
      <w:bookmarkStart w:id="79" w:name="_Toc221113304"/>
      <w:r>
        <w:rPr>
          <w:b/>
          <w:bCs/>
          <w:sz w:val="32"/>
          <w:szCs w:val="32"/>
        </w:rPr>
        <w:t>项目培训及售后服务方案</w:t>
      </w:r>
      <w:bookmarkEnd w:id="79"/>
    </w:p>
    <w:p w14:paraId="56858B12">
      <w:pPr>
        <w:spacing w:line="360" w:lineRule="auto"/>
        <w:rPr>
          <w:sz w:val="24"/>
        </w:rPr>
      </w:pPr>
    </w:p>
    <w:p w14:paraId="5C350EAC">
      <w:pPr>
        <w:pBdr>
          <w:top w:val="single" w:color="auto" w:sz="4" w:space="0"/>
          <w:left w:val="single" w:color="auto" w:sz="4" w:space="0"/>
          <w:bottom w:val="single" w:color="auto" w:sz="4" w:space="0"/>
          <w:right w:val="single" w:color="auto" w:sz="4" w:space="0"/>
        </w:pBdr>
        <w:spacing w:line="360" w:lineRule="auto"/>
        <w:ind w:firstLine="482" w:firstLineChars="200"/>
        <w:rPr>
          <w:b/>
          <w:bCs/>
          <w:sz w:val="24"/>
        </w:rPr>
      </w:pPr>
      <w:r>
        <w:rPr>
          <w:rFonts w:hint="eastAsia"/>
          <w:b/>
          <w:bCs/>
          <w:sz w:val="24"/>
        </w:rPr>
        <w:t>本章节重点阐述项目培训及售后服务方案，包含售后服务和培训方案。</w:t>
      </w:r>
    </w:p>
    <w:p w14:paraId="7A80D437">
      <w:pPr>
        <w:spacing w:line="360" w:lineRule="auto"/>
        <w:rPr>
          <w:sz w:val="24"/>
        </w:rPr>
      </w:pPr>
    </w:p>
    <w:p w14:paraId="3B5A4C39">
      <w:pPr>
        <w:spacing w:line="360" w:lineRule="auto"/>
        <w:ind w:firstLine="420" w:firstLineChars="200"/>
        <w:rPr>
          <w:sz w:val="24"/>
        </w:rPr>
      </w:pPr>
      <w:r>
        <w:drawing>
          <wp:anchor distT="0" distB="0" distL="114300" distR="114300" simplePos="0" relativeHeight="251679744" behindDoc="0" locked="0" layoutInCell="1" allowOverlap="1">
            <wp:simplePos x="0" y="0"/>
            <wp:positionH relativeFrom="column">
              <wp:posOffset>-467995</wp:posOffset>
            </wp:positionH>
            <wp:positionV relativeFrom="paragraph">
              <wp:posOffset>1659255</wp:posOffset>
            </wp:positionV>
            <wp:extent cx="6042025" cy="3129915"/>
            <wp:effectExtent l="133350" t="114300" r="130175" b="165735"/>
            <wp:wrapSquare wrapText="bothSides"/>
            <wp:docPr id="6689133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913374" name="图片 1"/>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42025" cy="3129915"/>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sz w:val="24"/>
        </w:rPr>
        <w:t>我们深刻理解，一个成功的AI项目不仅在于技术的交付，更在于知识的转移与服务的延续。为此，我们制定了</w:t>
      </w:r>
      <w:r>
        <w:rPr>
          <w:rFonts w:hint="eastAsia"/>
          <w:sz w:val="24"/>
        </w:rPr>
        <w:t>如图36所示的</w:t>
      </w:r>
      <w:r>
        <w:rPr>
          <w:sz w:val="24"/>
        </w:rPr>
        <w:t>一套超越常规、旨在构建长期能力与信任的培训及售后服务方案。我们的核心承诺是：成为贵校在人工智能教育应用道路上可靠、专业、响应迅速的长期伙伴，确保平台不仅“能用”，更能“用好”、“用精”，最终赋能学校形成自主创新的AI应用生态。</w:t>
      </w:r>
    </w:p>
    <w:p w14:paraId="122B057F">
      <w:pPr>
        <w:spacing w:line="360" w:lineRule="auto"/>
        <w:jc w:val="center"/>
        <w:rPr>
          <w:sz w:val="24"/>
        </w:rPr>
      </w:pPr>
      <w:r>
        <w:rPr>
          <w:rFonts w:hint="eastAsia"/>
          <w:b/>
          <w:bCs/>
          <w:sz w:val="24"/>
        </w:rPr>
        <w:t>图36 项目培训及售后服务方案</w:t>
      </w:r>
    </w:p>
    <w:p w14:paraId="177E8400">
      <w:pPr>
        <w:numPr>
          <w:ilvl w:val="1"/>
          <w:numId w:val="1"/>
        </w:numPr>
        <w:spacing w:line="360" w:lineRule="auto"/>
        <w:outlineLvl w:val="1"/>
        <w:rPr>
          <w:b/>
          <w:bCs/>
          <w:sz w:val="30"/>
          <w:szCs w:val="30"/>
        </w:rPr>
      </w:pPr>
      <w:bookmarkStart w:id="80" w:name="_Toc221113305"/>
      <w:r>
        <w:rPr>
          <w:b/>
          <w:bCs/>
          <w:sz w:val="30"/>
          <w:szCs w:val="30"/>
        </w:rPr>
        <w:t>售后服务总体承诺</w:t>
      </w:r>
      <w:bookmarkEnd w:id="80"/>
    </w:p>
    <w:p w14:paraId="6B9AA394">
      <w:pPr>
        <w:spacing w:line="360" w:lineRule="auto"/>
        <w:rPr>
          <w:sz w:val="24"/>
        </w:rPr>
      </w:pPr>
    </w:p>
    <w:p w14:paraId="26824BB8">
      <w:pPr>
        <w:spacing w:line="360" w:lineRule="auto"/>
        <w:ind w:firstLine="480" w:firstLineChars="200"/>
        <w:rPr>
          <w:sz w:val="24"/>
        </w:rPr>
      </w:pPr>
      <w:r>
        <w:rPr>
          <w:sz w:val="24"/>
        </w:rPr>
        <w:t>我们的服务理念根植于“客户至上、响应迅速、保障有力”的宗旨。这意味着我们将始终从贵校的实际应用场景和业务目标出发，将保障系统稳定、高效运行作为首要任务，并全力支持贵校对AI应用从规划、开发、部署到优化、迭代的全生命周期管理。</w:t>
      </w:r>
    </w:p>
    <w:p w14:paraId="6F9F9B7F">
      <w:pPr>
        <w:spacing w:line="360" w:lineRule="auto"/>
        <w:ind w:firstLine="480" w:firstLineChars="200"/>
        <w:rPr>
          <w:sz w:val="24"/>
        </w:rPr>
      </w:pPr>
    </w:p>
    <w:p w14:paraId="591D462E">
      <w:pPr>
        <w:spacing w:line="360" w:lineRule="auto"/>
        <w:ind w:firstLine="480" w:firstLineChars="200"/>
        <w:rPr>
          <w:sz w:val="24"/>
        </w:rPr>
      </w:pPr>
      <w:r>
        <w:rPr>
          <w:sz w:val="24"/>
        </w:rPr>
        <w:t>为实现这一承诺，我们将专门为贵校项目成立一个扁平化、高效率的专项售后服务团队。该团队并非临时组建，而是由我司直接管理，融合了技术负责人、常驻运维工程师、专属培训讲师以及后台研发专家的核心资源。团队将建立与贵校的“专人对接”机制，确保沟通零障碍，需求无遗漏。同时，我们提供7×24小时不间断的服务热线与在线支持平台，确保任何时刻，支持都在线。</w:t>
      </w:r>
    </w:p>
    <w:p w14:paraId="531A340B">
      <w:pPr>
        <w:spacing w:line="360" w:lineRule="auto"/>
        <w:ind w:firstLine="480" w:firstLineChars="200"/>
        <w:rPr>
          <w:sz w:val="24"/>
        </w:rPr>
      </w:pPr>
    </w:p>
    <w:p w14:paraId="2F4B61F7">
      <w:pPr>
        <w:spacing w:line="360" w:lineRule="auto"/>
        <w:ind w:firstLine="480" w:firstLineChars="200"/>
        <w:rPr>
          <w:sz w:val="24"/>
        </w:rPr>
      </w:pPr>
      <w:r>
        <w:rPr>
          <w:sz w:val="24"/>
        </w:rPr>
        <w:t>我们的服务响应建立在清晰的故障分级与处理流程之上。一旦接收到服务请求，系统将立即启动分类与响应机制（如下图</w:t>
      </w:r>
      <w:r>
        <w:rPr>
          <w:rFonts w:hint="eastAsia"/>
          <w:sz w:val="24"/>
        </w:rPr>
        <w:t>37</w:t>
      </w:r>
      <w:r>
        <w:rPr>
          <w:sz w:val="24"/>
        </w:rPr>
        <w:t>所示）。我们郑重承诺，对于任何问题，我们将在24小时内提供实质性解决方案或明确的处理计划。对于紧急事件，我们承诺15分钟内启动应急响应，并视情况提供远程即时介入或安排工程师现场支援，全力保障核心业务连续性。</w:t>
      </w:r>
    </w:p>
    <w:p w14:paraId="79F9FDA5">
      <w:pPr>
        <w:spacing w:line="360" w:lineRule="auto"/>
        <w:jc w:val="center"/>
        <w:rPr>
          <w:sz w:val="24"/>
        </w:rPr>
      </w:pPr>
      <w:r>
        <w:rPr>
          <w:sz w:val="24"/>
        </w:rPr>
        <w:drawing>
          <wp:inline distT="0" distB="0" distL="114300" distR="114300">
            <wp:extent cx="3941445" cy="5013960"/>
            <wp:effectExtent l="0" t="0" r="1905" b="0"/>
            <wp:docPr id="16" name="图片 16"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4.1"/>
                    <pic:cNvPicPr>
                      <a:picLocks noChangeAspect="1"/>
                    </pic:cNvPicPr>
                  </pic:nvPicPr>
                  <pic:blipFill>
                    <a:blip r:embed="rId41"/>
                    <a:stretch>
                      <a:fillRect/>
                    </a:stretch>
                  </pic:blipFill>
                  <pic:spPr>
                    <a:xfrm>
                      <a:off x="0" y="0"/>
                      <a:ext cx="3945663" cy="5019313"/>
                    </a:xfrm>
                    <a:prstGeom prst="rect">
                      <a:avLst/>
                    </a:prstGeom>
                  </pic:spPr>
                </pic:pic>
              </a:graphicData>
            </a:graphic>
          </wp:inline>
        </w:drawing>
      </w:r>
    </w:p>
    <w:p w14:paraId="068496A2">
      <w:pPr>
        <w:spacing w:line="360" w:lineRule="auto"/>
        <w:jc w:val="center"/>
        <w:rPr>
          <w:b/>
          <w:bCs/>
        </w:rPr>
      </w:pPr>
      <w:r>
        <w:rPr>
          <w:rFonts w:hint="eastAsia"/>
          <w:b/>
          <w:bCs/>
        </w:rPr>
        <w:t>图37 服务响应与升级路径图</w:t>
      </w:r>
    </w:p>
    <w:p w14:paraId="279389B6">
      <w:pPr>
        <w:numPr>
          <w:ilvl w:val="1"/>
          <w:numId w:val="1"/>
        </w:numPr>
        <w:spacing w:line="360" w:lineRule="auto"/>
        <w:outlineLvl w:val="1"/>
        <w:rPr>
          <w:b/>
          <w:bCs/>
          <w:sz w:val="30"/>
          <w:szCs w:val="30"/>
        </w:rPr>
      </w:pPr>
      <w:bookmarkStart w:id="81" w:name="_Toc221113306"/>
      <w:r>
        <w:rPr>
          <w:b/>
          <w:bCs/>
          <w:sz w:val="30"/>
          <w:szCs w:val="30"/>
        </w:rPr>
        <w:t>售后服务具体内容</w:t>
      </w:r>
      <w:bookmarkEnd w:id="81"/>
    </w:p>
    <w:p w14:paraId="6216E22F">
      <w:pPr>
        <w:spacing w:line="360" w:lineRule="auto"/>
      </w:pPr>
    </w:p>
    <w:p w14:paraId="22F00177">
      <w:pPr>
        <w:spacing w:line="360" w:lineRule="auto"/>
        <w:ind w:firstLine="480" w:firstLineChars="200"/>
        <w:rPr>
          <w:sz w:val="24"/>
        </w:rPr>
      </w:pPr>
      <w:r>
        <w:rPr>
          <w:sz w:val="24"/>
        </w:rPr>
        <w:t>在为期三年的免费质保期内，我们的售后服务将超越传统被动的故障修复模式，致力于构建一个涵盖系统、数据、智能能力与知识传承的立体化、主动式服务保障体系。我们不仅确保平台本身的长期稳定与高性能运行，更将重点聚焦于数据的持续运营、AI能力的迭代进化以及学校内部数字化能力的培育，从而全面支撑常州工程职业技术学院AI数智化战略的深化与落地。</w:t>
      </w:r>
    </w:p>
    <w:p w14:paraId="6C74E448">
      <w:pPr>
        <w:spacing w:line="360" w:lineRule="auto"/>
        <w:rPr>
          <w:sz w:val="24"/>
        </w:rPr>
      </w:pPr>
    </w:p>
    <w:p w14:paraId="5B6684E2">
      <w:pPr>
        <w:spacing w:line="360" w:lineRule="auto"/>
        <w:ind w:firstLine="480" w:firstLineChars="200"/>
        <w:rPr>
          <w:sz w:val="24"/>
        </w:rPr>
      </w:pPr>
      <w:r>
        <w:rPr>
          <w:sz w:val="24"/>
        </w:rPr>
        <w:t>在系统健康与性能保障方面，我们将建立一套常态化的主动关怀机制。这包括每季度一次的远程深度巡检与每半年一次的现场全面健康检查，由我方资深工程师对平台的基础设施资源、各微服务组件状态、安全配置策略及数据备份恢复机制进行系统性审视与评估。每一次检查都将形成一份详实的《系统健康检查报告》，清晰呈现当前性能指标与历史基线的对比分析，明确指出潜在的风险点与性能瓶颈，并提供具体的优化配置建议与行动计划。同时，依托于平台内置的、基于CNCF可观测性技术栈的智能监控体系，我们将对应用响应时间、API成功率、数据流水线吞吐量、AI模型推理延迟等数百项关键指标实施7×24小时不间断监控。该体系具备智能预警能力，能够通过机器学习算法识别异常趋势，并在问题影响业务之前，通过多渠道自动向双方运维团队发出预警，实现从“故障修复”到“问题预防”的根本性转变。对于平台所依赖的开源组件，我们将主动跟踪其安全通告，在评估风险后，经与校方协商，于业务低峰期协助实施安全补丁与漏洞修复。质保期内，平台自身的功能优化与缺陷修复等小版本迭代升级，我们也将其纳入免费服务范畴，并确保升级过程的平滑与可控。</w:t>
      </w:r>
    </w:p>
    <w:p w14:paraId="0704AD25">
      <w:pPr>
        <w:spacing w:line="360" w:lineRule="auto"/>
        <w:ind w:firstLine="480" w:firstLineChars="200"/>
        <w:rPr>
          <w:sz w:val="24"/>
        </w:rPr>
      </w:pPr>
    </w:p>
    <w:p w14:paraId="59730C27">
      <w:pPr>
        <w:spacing w:line="360" w:lineRule="auto"/>
        <w:ind w:firstLine="480" w:firstLineChars="200"/>
        <w:rPr>
          <w:sz w:val="24"/>
        </w:rPr>
      </w:pPr>
      <w:r>
        <w:rPr>
          <w:sz w:val="24"/>
        </w:rPr>
        <w:t>在数据服务与AI能力持续运营层面，我们的服务将确保平台的“智能燃料”常新、“引擎动力”不衰。针对招标文件核心要求的产业人才数据服务，我们将严格履行按季度更新的承诺，持续完成从多源数据采集、智能化清洗、标准化图谱构建到平台自动注入的全流程工作。每次数据更新后，我们不仅提供更新后的数据服务，还将同步提交《产业数据更新与质量报告》，阐明本周期数据的覆盖范围变化、核心指标趋势以及对校本专业设置的关联性洞察。在三年服务期内，我们承诺可依据学校新兴专业布局或区域产业发展重点，提供一次数据采集范围的适应性调整支持。对于平台内置的职教政策知识库、国家专业教学标准库等核心知识资产，我们将建立定期审查与更新机制，确保其内容的时效性与权威性。对于运行在平台上的各类AI模型，我们将监控其性能表现，一旦发现因数据漂移等因素导致的模型效果衰减，将及时提供专业的重训练建议或优化方案。对于已交付的“AI问数”等标准应用，我们将持续关注其使用效能，根据业务部门的实际反馈，在平台框架内对应用的交互体验与查询性能进行适度的年度优化，确保核心工具始终好用、易用。</w:t>
      </w:r>
    </w:p>
    <w:p w14:paraId="2DA61859">
      <w:pPr>
        <w:spacing w:line="360" w:lineRule="auto"/>
        <w:ind w:firstLine="480" w:firstLineChars="200"/>
        <w:rPr>
          <w:sz w:val="24"/>
        </w:rPr>
      </w:pPr>
    </w:p>
    <w:p w14:paraId="5800E28D">
      <w:pPr>
        <w:spacing w:line="360" w:lineRule="auto"/>
        <w:ind w:firstLine="480" w:firstLineChars="200"/>
        <w:rPr>
          <w:sz w:val="24"/>
        </w:rPr>
      </w:pPr>
      <w:r>
        <w:rPr>
          <w:sz w:val="24"/>
        </w:rPr>
        <w:t>在技术支持与故障处理方面，我们建立了基于事件等级的分层响应与闭环管理机制。日常的使用咨询、操作指导类问题，可通过7×24小时服务热线、在线工单系统或专属即时通讯群组获得一线服务台的快速解答。对于涉及平台功能异常、性能下降、数据异常等技术类故障，将由二线技术支撑团队，即本地常驻工程师与远程专家中心协同进行诊断与处置。我们承诺对P1/P2级别事件在30分钟至1小时内响应，并全力在规定时限内解决。若发生导致核心服务中断的P0级紧急事件，我方将在15分钟内启动应急响应流程，并视情况紧急程度，确保工程师以最快速度抵达现场进行处置，全力保障学校关键业务连续性。所有P1及以上级别的故障解决后，我们均会在规定时间内提供一份《故障分析报告》，不仅记录现象与处理过程，更致力于分析根本原因，提出永久性解决与预防措施，将每次故障转化为系统可靠性的提升契机。</w:t>
      </w:r>
    </w:p>
    <w:p w14:paraId="35001B5B">
      <w:pPr>
        <w:spacing w:line="360" w:lineRule="auto"/>
        <w:ind w:firstLine="480" w:firstLineChars="200"/>
        <w:rPr>
          <w:sz w:val="24"/>
        </w:rPr>
      </w:pPr>
    </w:p>
    <w:p w14:paraId="60264D9F">
      <w:pPr>
        <w:spacing w:line="360" w:lineRule="auto"/>
        <w:ind w:firstLine="480" w:firstLineChars="200"/>
        <w:rPr>
          <w:sz w:val="24"/>
        </w:rPr>
      </w:pPr>
      <w:r>
        <w:rPr>
          <w:sz w:val="24"/>
        </w:rPr>
        <w:t>在知识转移与能力建设方面，售后服务是项目培训的延续与深化。我们承诺在三年质保期内，每年为学校新加入的关键用户或系统管理员组织一次免费的专题复训或高级工作坊，内容可围绕低代码开发进阶、数据治理实践或新上线平台特性展开。我们将维护并持续运营一个在线的知识共享平台与社区，不断更新常见问题解答、技术实践文章、典型应用案例源码及视频教程，形成一个围绕学校数字化创新的活力知识库。我们尤为重视校内最佳实践的挖掘与推广，将主动协助各业务部门，将其利用平台成功开发的智能应用案例进行提炼、标准化，形成可复用的模板或组件，并在全校范围内进行分享与推广，从而激发更广泛的创新热情，滋养校内自我驱动的AI应用生态。</w:t>
      </w:r>
    </w:p>
    <w:p w14:paraId="387CA541">
      <w:pPr>
        <w:spacing w:line="360" w:lineRule="auto"/>
        <w:ind w:firstLine="480" w:firstLineChars="200"/>
        <w:rPr>
          <w:sz w:val="24"/>
        </w:rPr>
      </w:pPr>
    </w:p>
    <w:p w14:paraId="20DC75F2">
      <w:pPr>
        <w:spacing w:line="360" w:lineRule="auto"/>
        <w:ind w:firstLine="480" w:firstLineChars="200"/>
        <w:rPr>
          <w:sz w:val="24"/>
        </w:rPr>
      </w:pPr>
      <w:r>
        <w:rPr>
          <w:sz w:val="24"/>
        </w:rPr>
        <w:t>关于质保期后的服务延续，我们秉持长期合作、共同发展的理念，承诺服务的无缝衔接。在三年免费质保期结束前六个月，我方将主动与贵校信息中心及相关业务部门启动正式磋商，基于平台历史运行数据与学校未来三年数字化规划，共同设计定制化的后续服务方案。该方案将提供从基础技术支持、全面运维保障到功能增强开发等多层次、灵活可选的套餐。作为学校数字化转型道路上的坚定伙伴，我们承诺为贵校提供极具竞争力的优先续约条件与服务价格，确保学校在长期运营中始终获得专业、可靠、经济的技术支持，保障前期投资效益的持续最大化。</w:t>
      </w:r>
    </w:p>
    <w:p w14:paraId="44A59BC2">
      <w:pPr>
        <w:spacing w:line="360" w:lineRule="auto"/>
        <w:ind w:firstLine="480" w:firstLineChars="200"/>
        <w:rPr>
          <w:sz w:val="24"/>
        </w:rPr>
      </w:pPr>
    </w:p>
    <w:p w14:paraId="205528F6">
      <w:pPr>
        <w:numPr>
          <w:ilvl w:val="1"/>
          <w:numId w:val="1"/>
        </w:numPr>
        <w:spacing w:line="360" w:lineRule="auto"/>
        <w:outlineLvl w:val="1"/>
        <w:rPr>
          <w:b/>
          <w:bCs/>
          <w:sz w:val="30"/>
          <w:szCs w:val="30"/>
        </w:rPr>
      </w:pPr>
      <w:bookmarkStart w:id="82" w:name="_Toc221113307"/>
      <w:r>
        <w:rPr>
          <w:b/>
          <w:bCs/>
          <w:sz w:val="30"/>
          <w:szCs w:val="30"/>
        </w:rPr>
        <w:t>培训方案</w:t>
      </w:r>
      <w:bookmarkEnd w:id="82"/>
    </w:p>
    <w:p w14:paraId="7E1123C7">
      <w:pPr>
        <w:spacing w:line="360" w:lineRule="auto"/>
        <w:rPr>
          <w:sz w:val="24"/>
        </w:rPr>
      </w:pPr>
    </w:p>
    <w:p w14:paraId="72969542">
      <w:pPr>
        <w:spacing w:line="360" w:lineRule="auto"/>
        <w:ind w:firstLine="480" w:firstLineChars="200"/>
        <w:rPr>
          <w:sz w:val="24"/>
        </w:rPr>
      </w:pPr>
      <w:r>
        <w:rPr>
          <w:sz w:val="24"/>
        </w:rPr>
        <w:t>我们的培训目标是多层次的：确保各角色用户能熟练掌握平台功能；激发教师与开发者自主创造AI应用的能力；最终助力学校培养一批技术骨干，形成可持续的校内自我运维与开发能力。</w:t>
      </w:r>
    </w:p>
    <w:p w14:paraId="15E8EA82">
      <w:pPr>
        <w:spacing w:line="360" w:lineRule="auto"/>
        <w:ind w:firstLine="480" w:firstLineChars="200"/>
        <w:rPr>
          <w:sz w:val="24"/>
        </w:rPr>
      </w:pPr>
    </w:p>
    <w:p w14:paraId="23793580">
      <w:pPr>
        <w:spacing w:line="360" w:lineRule="auto"/>
        <w:ind w:firstLine="480" w:firstLineChars="200"/>
        <w:rPr>
          <w:sz w:val="24"/>
        </w:rPr>
      </w:pPr>
      <w:r>
        <w:rPr>
          <w:sz w:val="24"/>
        </w:rPr>
        <w:t>培训体系将根据角色精准设计：</w:t>
      </w:r>
    </w:p>
    <w:p w14:paraId="7C0632C8">
      <w:pPr>
        <w:spacing w:line="360" w:lineRule="auto"/>
        <w:ind w:firstLine="480" w:firstLineChars="200"/>
        <w:rPr>
          <w:sz w:val="24"/>
        </w:rPr>
      </w:pPr>
      <w:r>
        <w:rPr>
          <w:sz w:val="24"/>
        </w:rPr>
        <w:t>针对系统管理员，我们将开展关于平台底层架构、高可用部署、日常监控与告警、日志分析与安全审计、数据备份与灾难恢复的深度培训。目标是使他们能够像我们一样理解和管理整个系统，成为校园AI基础设施的坚实守护者。</w:t>
      </w:r>
    </w:p>
    <w:p w14:paraId="14D72735">
      <w:pPr>
        <w:spacing w:line="360" w:lineRule="auto"/>
        <w:ind w:firstLine="480" w:firstLineChars="200"/>
        <w:rPr>
          <w:sz w:val="24"/>
        </w:rPr>
      </w:pPr>
      <w:r>
        <w:rPr>
          <w:sz w:val="24"/>
        </w:rPr>
        <w:t>针对教师、研究员及IT开发人员，培训将聚焦于AI应用的核心构建过程：从多源数据的接入与标准化处理，到领域知识库的结构化构建与管理；从利用可视化工具拖拉拽开发复杂AI工作流，到进行模型训练、评估与调优；再到如何通过API将AI能力无缝集成到现有校园业务系统中。我们将通过丰富的真实案例，引导他们从想法走向实现。</w:t>
      </w:r>
    </w:p>
    <w:p w14:paraId="1D07DC2C">
      <w:pPr>
        <w:spacing w:line="360" w:lineRule="auto"/>
        <w:ind w:firstLine="480" w:firstLineChars="200"/>
        <w:rPr>
          <w:sz w:val="24"/>
        </w:rPr>
      </w:pPr>
      <w:r>
        <w:rPr>
          <w:sz w:val="24"/>
        </w:rPr>
        <w:t>针对广大的业务使用人员（如行政、教务、学工人员），培训将化繁为简，专注于如何轻松使用已部署的智能应用（如智能问答、文档分析、数据洞察等）来完成日常工作，提升效率。重点在于直观的操作体验和问题解决路径引导。</w:t>
      </w:r>
    </w:p>
    <w:p w14:paraId="51963523">
      <w:pPr>
        <w:spacing w:line="360" w:lineRule="auto"/>
        <w:ind w:firstLine="480" w:firstLineChars="200"/>
        <w:rPr>
          <w:sz w:val="24"/>
        </w:rPr>
      </w:pPr>
    </w:p>
    <w:p w14:paraId="0A815F8D">
      <w:pPr>
        <w:spacing w:line="360" w:lineRule="auto"/>
        <w:ind w:firstLine="480" w:firstLineChars="200"/>
        <w:rPr>
          <w:sz w:val="24"/>
        </w:rPr>
      </w:pPr>
      <w:r>
        <w:rPr>
          <w:sz w:val="24"/>
        </w:rPr>
        <w:t>培训将摒弃单向灌输，采用“理论讲解、实战演练、案例研讨、持续辅导”相结合的混合式模式。除了线下集中培训，我们将提供体系化的视频课程库、图文并茂的操作手册和可下载的实战项目案例包。我们更规划了季度技术沙龙和线上答疑社区，营造持续学习、交流共创的氛围，促进校内AI技术社群的成长。</w:t>
      </w:r>
    </w:p>
    <w:p w14:paraId="203B63EA">
      <w:pPr>
        <w:spacing w:line="360" w:lineRule="auto"/>
        <w:rPr>
          <w:sz w:val="24"/>
        </w:rPr>
      </w:pPr>
    </w:p>
    <w:p w14:paraId="2174CA9F">
      <w:pPr>
        <w:numPr>
          <w:ilvl w:val="1"/>
          <w:numId w:val="1"/>
        </w:numPr>
        <w:spacing w:line="360" w:lineRule="auto"/>
        <w:outlineLvl w:val="1"/>
        <w:rPr>
          <w:b/>
          <w:bCs/>
          <w:sz w:val="30"/>
          <w:szCs w:val="30"/>
        </w:rPr>
      </w:pPr>
      <w:bookmarkStart w:id="83" w:name="_Toc221113308"/>
      <w:r>
        <w:rPr>
          <w:b/>
          <w:bCs/>
          <w:sz w:val="30"/>
          <w:szCs w:val="30"/>
        </w:rPr>
        <w:t>服务保障措施</w:t>
      </w:r>
      <w:bookmarkEnd w:id="83"/>
    </w:p>
    <w:p w14:paraId="188DFB99">
      <w:pPr>
        <w:spacing w:line="360" w:lineRule="auto"/>
        <w:rPr>
          <w:sz w:val="24"/>
        </w:rPr>
      </w:pPr>
    </w:p>
    <w:p w14:paraId="19F9DB26">
      <w:pPr>
        <w:spacing w:line="360" w:lineRule="auto"/>
        <w:ind w:firstLine="480" w:firstLineChars="200"/>
        <w:rPr>
          <w:sz w:val="24"/>
        </w:rPr>
      </w:pPr>
      <w:r>
        <w:rPr>
          <w:sz w:val="24"/>
        </w:rPr>
        <w:t>为确保本项目售后服务体系的高效运转与承诺的切实履行，我们建立了一套全方位、制度化、前瞻性的服务保障体系。该体系以组织、资源、流程、知识四大支柱为核心，旨在构建一个从被动响应走向主动服务、从单点支持走向生态赋能、从技术保障走向价值共创的可持续服务能力。</w:t>
      </w:r>
    </w:p>
    <w:p w14:paraId="21590DFC">
      <w:pPr>
        <w:spacing w:line="360" w:lineRule="auto"/>
        <w:ind w:firstLine="480" w:firstLineChars="200"/>
        <w:rPr>
          <w:sz w:val="24"/>
        </w:rPr>
      </w:pPr>
    </w:p>
    <w:p w14:paraId="707A3377">
      <w:pPr>
        <w:spacing w:line="360" w:lineRule="auto"/>
        <w:ind w:firstLine="480" w:firstLineChars="200"/>
        <w:rPr>
          <w:sz w:val="24"/>
        </w:rPr>
      </w:pPr>
      <w:r>
        <w:rPr>
          <w:sz w:val="24"/>
        </w:rPr>
        <w:t>在组织与人员保障方面，我们承诺项目验收后将为本项目设立一个常设的“常州工程AI平台专属服务小组”。该小组直接向公司服务总监汇报，成员固定，确保服务经验和项目背景的持续积累。小组将配置专属客户成功经理作为校方单一联络窗口，负责服务协调、需求管理与服务SLA监督；在华东区域部署具备平台全栈技术能力的资深工程师，确保对紧急事件的快速现场支持能力；并在公司总部技术中心设立涵盖AI算法、大数据、云原生架构、安全攻防等领域的专家团队，为复杂问题提供深度技术后援。所有服务团队成员均需持有相关技术认证，并通过本项目平台特质的岗前培训与考核。我们将建立常态化的内部技术分享与应急演练机制，确保团队能力与时俱进，能够应对新技术挑战与新型安全威胁。</w:t>
      </w:r>
    </w:p>
    <w:p w14:paraId="1B1561E8">
      <w:pPr>
        <w:spacing w:line="360" w:lineRule="auto"/>
        <w:ind w:firstLine="480" w:firstLineChars="200"/>
        <w:rPr>
          <w:sz w:val="24"/>
        </w:rPr>
      </w:pPr>
    </w:p>
    <w:p w14:paraId="1E59B68F">
      <w:pPr>
        <w:spacing w:line="360" w:lineRule="auto"/>
        <w:ind w:firstLine="480" w:firstLineChars="200"/>
        <w:rPr>
          <w:sz w:val="24"/>
        </w:rPr>
      </w:pPr>
      <w:r>
        <w:rPr>
          <w:sz w:val="24"/>
        </w:rPr>
        <w:t>在资源与工具保障层面，我们将启用专用的IT服务管理系统，对校方提交的所有服务请求进行统一接入、智能分类、自动派单与全流程跟踪。该系统将与平台自身的监控告警系统集成，实现从故障发生到工单创建的自动化联动，大幅缩短平均故障识别时间。同时，我们将配备企业级远程支持工具，在获得校方授权后，可安全、可控地进行远程桌面诊断、日志抓取与性能分析，实现多数问题的远程快速定位与解决。此外，我们将为本项目建立一个动态更新的在线知识库，不仅包含标准操作手册和常见问题解答，更将本项目服务过程中产生的解决方案、故障根因分析报告、配置优化案例、校内最佳实践等持续沉淀入库。该知识库将向校方管理员适度开放，共同丰富内容，使其成为赋能校内自主运维与问题排查的数字智库。</w:t>
      </w:r>
    </w:p>
    <w:p w14:paraId="72BD450B">
      <w:pPr>
        <w:spacing w:line="360" w:lineRule="auto"/>
        <w:ind w:firstLine="480" w:firstLineChars="200"/>
        <w:rPr>
          <w:sz w:val="24"/>
        </w:rPr>
      </w:pPr>
    </w:p>
    <w:p w14:paraId="620EA091">
      <w:pPr>
        <w:spacing w:line="360" w:lineRule="auto"/>
        <w:ind w:firstLine="480" w:firstLineChars="200"/>
        <w:rPr>
          <w:sz w:val="24"/>
        </w:rPr>
      </w:pPr>
      <w:r>
        <w:rPr>
          <w:sz w:val="24"/>
        </w:rPr>
        <w:t>在流程与制度保障方面，我们将基于事件分级制定量化的、可考核的服务等级协议指标，并纳入服务报告定期复核。所有服务活动均以达成和超越SLA为目标进行管理。我们将把每半年一次的系统深度检查固化为标准服务流程，每次巡检不仅形成系统健康检查报告，还将与校方信息中心联合召开巡检复盘会，共同审视系统运行状态、业务使用数据、潜在风险及优化建议。为保障系统稳定性，所有涉及平台配置、补丁、升级的变更，均严格遵守变更管理流程，变更前提供影响评估与回滚方案，经校方确认后方可在约定的维护窗口内实施。我们还将建立受理、处理、解决、回访、评价的完整服务闭环，每一张服务工单关闭后自动发起用户满意度调查，并定期分析服务数据与用户反馈，形成服务质量改进报告，用于驱动服务流程、工具和人员能力的持续优化。</w:t>
      </w:r>
    </w:p>
    <w:p w14:paraId="6632D854">
      <w:pPr>
        <w:spacing w:line="360" w:lineRule="auto"/>
        <w:ind w:firstLine="480" w:firstLineChars="200"/>
        <w:rPr>
          <w:sz w:val="24"/>
        </w:rPr>
      </w:pPr>
    </w:p>
    <w:p w14:paraId="47A1FFCF">
      <w:pPr>
        <w:spacing w:line="360" w:lineRule="auto"/>
        <w:ind w:firstLine="480" w:firstLineChars="200"/>
        <w:rPr>
          <w:sz w:val="24"/>
        </w:rPr>
      </w:pPr>
      <w:r>
        <w:rPr>
          <w:sz w:val="24"/>
        </w:rPr>
        <w:t>在应急与业务连续性保障方面，我们将在项目上线初期与校方信息中心共同编制AI数智平台重大事件应急响应预案，明确在发生重大故障、安全攻击、数据泄露等场景下的应急指挥体系、通讯录、处置步骤与恢复目标。我们承诺每年至少协助或参与一次应急演练，验证预案有效性并持续完善。同时，我们将协助校方制定平台核心数据的备份策略，包括全量备份与增量备份的频率、保留周期，并验证备份数据的可恢复性。根据学校IT整体容灾规划，我们可提供平台级的容灾技术方案建议，支持在主备数据中心间实现应用级或数据级的灾难恢复能力。此外，依托公司安全团队，我们将建立针对教育行业及通用开源组件的安全威胁情报收集机制，一旦发现可能影响本平台的高危漏洞或新型攻击方式，将主动向校方发出安全预警并提供修补建议或临时缓解措施。</w:t>
      </w:r>
    </w:p>
    <w:p w14:paraId="2CDF7441">
      <w:pPr>
        <w:spacing w:line="360" w:lineRule="auto"/>
        <w:ind w:firstLine="480" w:firstLineChars="200"/>
        <w:rPr>
          <w:sz w:val="24"/>
        </w:rPr>
      </w:pPr>
    </w:p>
    <w:p w14:paraId="137BA31B">
      <w:pPr>
        <w:spacing w:line="360" w:lineRule="auto"/>
        <w:ind w:firstLine="480" w:firstLineChars="200"/>
        <w:rPr>
          <w:sz w:val="24"/>
        </w:rPr>
      </w:pPr>
      <w:r>
        <w:rPr>
          <w:sz w:val="24"/>
        </w:rPr>
        <w:t>在协同与生态保障层面，我们将每季度召开由双方服务接口人、技术骨干参加的服务联席会议，不仅回顾服务数据，更聚焦于平台应用成效、业务创新需求与未来能力规划，使服务会议成为业务与技术的战略对齐平台。通过持续的培训、知识库共建和联合排障，我们致力于提升校内信息中心团队对平台的一级支持能力，并清晰定义双方的服务边界与协同方式，逐步将常见问题处理、日常监控、小范围配置变更等能力转移至校内团队，共同构建分层协同的服务生态。作为平台的构建者，我们将定期向校方同步AI技术趋势、平台技术路线图以及潜在的功能演进方向。在服务期内，对于因技术主流版本升级带来的必要且兼容的更新，我们将提供升级评估与协助服务，确保学校的AI能力基座能够持续焕新，保持技术生命力。</w:t>
      </w:r>
    </w:p>
    <w:p w14:paraId="092CECD9">
      <w:pPr>
        <w:spacing w:line="360" w:lineRule="auto"/>
        <w:ind w:firstLine="480" w:firstLineChars="200"/>
        <w:rPr>
          <w:sz w:val="24"/>
        </w:rPr>
      </w:pPr>
    </w:p>
    <w:p w14:paraId="1B86F07D">
      <w:pPr>
        <w:spacing w:line="360" w:lineRule="auto"/>
        <w:ind w:firstLine="480" w:firstLineChars="200"/>
        <w:rPr>
          <w:sz w:val="24"/>
        </w:rPr>
      </w:pPr>
      <w:r>
        <w:rPr>
          <w:sz w:val="24"/>
        </w:rPr>
        <w:t>总结而言，我们的服务保障措施是一个立体化的系统工程，它通过专业的组织、先进的工具、严密的流程和共生的理念，确保我们的服务承诺能够扎实落地，并最终转化为保障学校AI数智平台稳定、高效、安全运行的核心能力，支撑学校教育数字化转型行稳致远。</w:t>
      </w:r>
    </w:p>
    <w:p w14:paraId="22C4B2F8">
      <w:pPr>
        <w:spacing w:line="360" w:lineRule="auto"/>
        <w:ind w:firstLine="480" w:firstLineChars="200"/>
        <w:rPr>
          <w:sz w:val="24"/>
        </w:rPr>
      </w:pPr>
    </w:p>
    <w:p w14:paraId="6F12997A">
      <w:pPr>
        <w:numPr>
          <w:ilvl w:val="1"/>
          <w:numId w:val="1"/>
        </w:numPr>
        <w:spacing w:line="360" w:lineRule="auto"/>
        <w:outlineLvl w:val="1"/>
        <w:rPr>
          <w:b/>
          <w:bCs/>
          <w:sz w:val="30"/>
          <w:szCs w:val="30"/>
        </w:rPr>
      </w:pPr>
      <w:bookmarkStart w:id="84" w:name="_Toc221113309"/>
      <w:r>
        <w:rPr>
          <w:b/>
          <w:bCs/>
          <w:sz w:val="30"/>
          <w:szCs w:val="30"/>
        </w:rPr>
        <w:t>服务承诺书</w:t>
      </w:r>
      <w:bookmarkEnd w:id="84"/>
    </w:p>
    <w:p w14:paraId="3796BECE">
      <w:pPr>
        <w:spacing w:line="360" w:lineRule="auto"/>
        <w:rPr>
          <w:sz w:val="24"/>
        </w:rPr>
      </w:pPr>
    </w:p>
    <w:p w14:paraId="2D22A474">
      <w:pPr>
        <w:spacing w:line="360" w:lineRule="auto"/>
        <w:ind w:firstLine="480" w:firstLineChars="200"/>
        <w:rPr>
          <w:sz w:val="24"/>
        </w:rPr>
      </w:pPr>
      <w:r>
        <w:rPr>
          <w:sz w:val="24"/>
        </w:rPr>
        <w:t>我们郑重承诺，将严格按照本方案及随后正式提交的《售后服务承诺函》履行所有服务条款，明确各项服务的响应与解决时限、具体范围及质量标准。在三年质保期内，绝不收取任何方案内已承诺服务内容的额外费用。我们将严格遵守学校的信息安全与数据管理制度，所有服务操作均在授权与监督下进行，确保学校数据资产的安全与保密。</w:t>
      </w:r>
    </w:p>
    <w:p w14:paraId="250BB1C9">
      <w:pPr>
        <w:spacing w:line="360" w:lineRule="auto"/>
        <w:ind w:firstLine="480" w:firstLineChars="200"/>
        <w:rPr>
          <w:sz w:val="24"/>
        </w:rPr>
      </w:pPr>
    </w:p>
    <w:p w14:paraId="4CB035F9">
      <w:pPr>
        <w:spacing w:line="360" w:lineRule="auto"/>
        <w:ind w:firstLine="480" w:firstLineChars="200"/>
        <w:rPr>
          <w:sz w:val="24"/>
        </w:rPr>
      </w:pPr>
      <w:r>
        <w:rPr>
          <w:sz w:val="24"/>
        </w:rPr>
        <w:t>我们相信，卓越的交付只是合作的开始，持续、优质的服务才是价值实现的保障。我们期待通过本方案，与学校建立持久稳固的合作关系，共同推进智慧校园与AI教育应用的长远发展。</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BA8212">
    <w:pPr>
      <w:pStyle w:val="4"/>
    </w:pPr>
    <w:r>
      <mc:AlternateContent>
        <mc:Choice Requires="wps">
          <w:drawing>
            <wp:anchor distT="0" distB="0" distL="114300" distR="114300" simplePos="0" relativeHeight="251680768" behindDoc="0" locked="0" layoutInCell="1" allowOverlap="1">
              <wp:simplePos x="0" y="0"/>
              <wp:positionH relativeFrom="margin">
                <wp:posOffset>2524125</wp:posOffset>
              </wp:positionH>
              <wp:positionV relativeFrom="paragraph">
                <wp:posOffset>2540</wp:posOffset>
              </wp:positionV>
              <wp:extent cx="295275" cy="1828800"/>
              <wp:effectExtent l="0" t="0" r="10160" b="6350"/>
              <wp:wrapNone/>
              <wp:docPr id="17" name="文本框 17"/>
              <wp:cNvGraphicFramePr/>
              <a:graphic xmlns:a="http://schemas.openxmlformats.org/drawingml/2006/main">
                <a:graphicData uri="http://schemas.microsoft.com/office/word/2010/wordprocessingShape">
                  <wps:wsp>
                    <wps:cNvSpPr txBox="1"/>
                    <wps:spPr>
                      <a:xfrm>
                        <a:off x="0" y="0"/>
                        <a:ext cx="294958"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27C3E5C">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198.75pt;margin-top:0.2pt;height:144pt;width:23.25pt;mso-position-horizontal-relative:margin;z-index:251680768;mso-width-relative:page;mso-height-relative:page;" filled="f" stroked="f" coordsize="21600,21600" o:gfxdata="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DFs/IbWAAAACAEAAA8AAAAAAAAAAQAgAAAAIgAAAGRycy9kb3ducmV2Lnht&#10;bFBLAQIUABQAAAAIAIdO4kAdLIN2NAIAAFgEAAAOAAAAAAAAAAEAIAAAACUBAABkcnMvZTJvRG9j&#10;LnhtbFBLBQYAAAAABgAGAFkBAADLBQAAAAA=&#10;">
              <v:fill on="f" focussize="0,0"/>
              <v:stroke on="f" weight="0.5pt"/>
              <v:imagedata o:title=""/>
              <o:lock v:ext="edit" aspectratio="f"/>
              <v:textbox inset="0mm,0mm,0mm,0mm" style="mso-fit-shape-to-text:t;">
                <w:txbxContent>
                  <w:p w14:paraId="027C3E5C">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607CB1E"/>
    <w:multiLevelType w:val="multilevel"/>
    <w:tmpl w:val="D607CB1E"/>
    <w:lvl w:ilvl="0" w:tentative="0">
      <w:start w:val="1"/>
      <w:numFmt w:val="decimal"/>
      <w:suff w:val="space"/>
      <w:lvlText w:val="%1."/>
      <w:lvlJc w:val="left"/>
    </w:lvl>
    <w:lvl w:ilvl="1" w:tentative="0">
      <w:start w:val="1"/>
      <w:numFmt w:val="decimal"/>
      <w:suff w:val="space"/>
      <w:lvlText w:val="%1.%2."/>
      <w:lvlJc w:val="left"/>
      <w:pPr>
        <w:ind w:left="0" w:firstLine="0"/>
      </w:pPr>
      <w:rPr>
        <w:rFonts w:hint="default"/>
      </w:rPr>
    </w:lvl>
    <w:lvl w:ilvl="2" w:tentative="0">
      <w:start w:val="1"/>
      <w:numFmt w:val="decimal"/>
      <w:suff w:val="space"/>
      <w:lvlText w:val="%1.%2.%3."/>
      <w:lvlJc w:val="left"/>
      <w:pPr>
        <w:ind w:left="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4"/>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269B"/>
    <w:rsid w:val="00034340"/>
    <w:rsid w:val="00042609"/>
    <w:rsid w:val="00051991"/>
    <w:rsid w:val="0005326E"/>
    <w:rsid w:val="00064C48"/>
    <w:rsid w:val="00067B1A"/>
    <w:rsid w:val="00072CB6"/>
    <w:rsid w:val="00074102"/>
    <w:rsid w:val="00074330"/>
    <w:rsid w:val="000971DC"/>
    <w:rsid w:val="000A24B1"/>
    <w:rsid w:val="00101AF8"/>
    <w:rsid w:val="00105C7F"/>
    <w:rsid w:val="00106708"/>
    <w:rsid w:val="001341A2"/>
    <w:rsid w:val="00137D50"/>
    <w:rsid w:val="00151FAE"/>
    <w:rsid w:val="001E26B1"/>
    <w:rsid w:val="002051FF"/>
    <w:rsid w:val="002517CB"/>
    <w:rsid w:val="002A4587"/>
    <w:rsid w:val="002E5FF8"/>
    <w:rsid w:val="002F55D4"/>
    <w:rsid w:val="0034268F"/>
    <w:rsid w:val="00344488"/>
    <w:rsid w:val="00346F77"/>
    <w:rsid w:val="00357110"/>
    <w:rsid w:val="00383698"/>
    <w:rsid w:val="00394C64"/>
    <w:rsid w:val="0039539F"/>
    <w:rsid w:val="00397FDE"/>
    <w:rsid w:val="003D04C6"/>
    <w:rsid w:val="003F0361"/>
    <w:rsid w:val="00400B0A"/>
    <w:rsid w:val="00404B2C"/>
    <w:rsid w:val="004328CA"/>
    <w:rsid w:val="00433917"/>
    <w:rsid w:val="00440B32"/>
    <w:rsid w:val="004438AD"/>
    <w:rsid w:val="00453FA8"/>
    <w:rsid w:val="00460CBF"/>
    <w:rsid w:val="004C5368"/>
    <w:rsid w:val="004D46B6"/>
    <w:rsid w:val="004E3164"/>
    <w:rsid w:val="004F2AEA"/>
    <w:rsid w:val="004F6172"/>
    <w:rsid w:val="005032E9"/>
    <w:rsid w:val="005142C2"/>
    <w:rsid w:val="00534813"/>
    <w:rsid w:val="00540905"/>
    <w:rsid w:val="00576EA0"/>
    <w:rsid w:val="005A19FB"/>
    <w:rsid w:val="005B278B"/>
    <w:rsid w:val="005C6B29"/>
    <w:rsid w:val="005D144D"/>
    <w:rsid w:val="005D7602"/>
    <w:rsid w:val="005E269B"/>
    <w:rsid w:val="005F0F78"/>
    <w:rsid w:val="00642B1F"/>
    <w:rsid w:val="006434E6"/>
    <w:rsid w:val="006614FC"/>
    <w:rsid w:val="00663601"/>
    <w:rsid w:val="00687E3C"/>
    <w:rsid w:val="00694990"/>
    <w:rsid w:val="006A677F"/>
    <w:rsid w:val="006B2AC3"/>
    <w:rsid w:val="006C1257"/>
    <w:rsid w:val="006C1751"/>
    <w:rsid w:val="006C2ADF"/>
    <w:rsid w:val="006D2D61"/>
    <w:rsid w:val="006D2E15"/>
    <w:rsid w:val="006D36A8"/>
    <w:rsid w:val="006E4942"/>
    <w:rsid w:val="007352DD"/>
    <w:rsid w:val="007420BD"/>
    <w:rsid w:val="00747D53"/>
    <w:rsid w:val="007564FB"/>
    <w:rsid w:val="00795DAA"/>
    <w:rsid w:val="007B5CBC"/>
    <w:rsid w:val="007D0BF8"/>
    <w:rsid w:val="007E2EE9"/>
    <w:rsid w:val="00812DEC"/>
    <w:rsid w:val="008349C7"/>
    <w:rsid w:val="0084527C"/>
    <w:rsid w:val="00846910"/>
    <w:rsid w:val="008538AB"/>
    <w:rsid w:val="00854471"/>
    <w:rsid w:val="008A0AEC"/>
    <w:rsid w:val="008B10D7"/>
    <w:rsid w:val="008C77C6"/>
    <w:rsid w:val="008D6C03"/>
    <w:rsid w:val="0090552E"/>
    <w:rsid w:val="009066E7"/>
    <w:rsid w:val="009309D3"/>
    <w:rsid w:val="0093254F"/>
    <w:rsid w:val="00942A7A"/>
    <w:rsid w:val="009545EE"/>
    <w:rsid w:val="009606EC"/>
    <w:rsid w:val="009975E3"/>
    <w:rsid w:val="009A18CD"/>
    <w:rsid w:val="009A41D6"/>
    <w:rsid w:val="009E6DD8"/>
    <w:rsid w:val="009F2874"/>
    <w:rsid w:val="009F771E"/>
    <w:rsid w:val="00A0398E"/>
    <w:rsid w:val="00A13E33"/>
    <w:rsid w:val="00A404AA"/>
    <w:rsid w:val="00A77D9B"/>
    <w:rsid w:val="00AB3EA7"/>
    <w:rsid w:val="00AE0437"/>
    <w:rsid w:val="00AE4547"/>
    <w:rsid w:val="00AF4970"/>
    <w:rsid w:val="00B43468"/>
    <w:rsid w:val="00B44A59"/>
    <w:rsid w:val="00B571A5"/>
    <w:rsid w:val="00B70851"/>
    <w:rsid w:val="00B7265B"/>
    <w:rsid w:val="00BB42CA"/>
    <w:rsid w:val="00BE1B7F"/>
    <w:rsid w:val="00BE60F2"/>
    <w:rsid w:val="00C456B5"/>
    <w:rsid w:val="00C61E3E"/>
    <w:rsid w:val="00C804DD"/>
    <w:rsid w:val="00C96CA5"/>
    <w:rsid w:val="00CA4F13"/>
    <w:rsid w:val="00CA52FA"/>
    <w:rsid w:val="00CB0462"/>
    <w:rsid w:val="00CB2A1B"/>
    <w:rsid w:val="00CB4858"/>
    <w:rsid w:val="00CC768F"/>
    <w:rsid w:val="00D23D39"/>
    <w:rsid w:val="00D61462"/>
    <w:rsid w:val="00D638EE"/>
    <w:rsid w:val="00D73791"/>
    <w:rsid w:val="00DA0E59"/>
    <w:rsid w:val="00DC0F85"/>
    <w:rsid w:val="00DC34DA"/>
    <w:rsid w:val="00DE7322"/>
    <w:rsid w:val="00DF18FE"/>
    <w:rsid w:val="00DF5C08"/>
    <w:rsid w:val="00E00719"/>
    <w:rsid w:val="00E602F6"/>
    <w:rsid w:val="00E649DB"/>
    <w:rsid w:val="00E66C6A"/>
    <w:rsid w:val="00EB177F"/>
    <w:rsid w:val="00ED472F"/>
    <w:rsid w:val="00EE4782"/>
    <w:rsid w:val="00F044B2"/>
    <w:rsid w:val="00F3472F"/>
    <w:rsid w:val="00F532E7"/>
    <w:rsid w:val="00F9321C"/>
    <w:rsid w:val="00FC345D"/>
    <w:rsid w:val="00FF1524"/>
    <w:rsid w:val="075E0EBC"/>
    <w:rsid w:val="08251EAA"/>
    <w:rsid w:val="15C0733E"/>
    <w:rsid w:val="1CC57360"/>
    <w:rsid w:val="1E7E1EBC"/>
    <w:rsid w:val="255A71DF"/>
    <w:rsid w:val="2AA92D7F"/>
    <w:rsid w:val="2AC5334C"/>
    <w:rsid w:val="2D3534CA"/>
    <w:rsid w:val="33F407FF"/>
    <w:rsid w:val="372A515D"/>
    <w:rsid w:val="39D87645"/>
    <w:rsid w:val="3CAE371B"/>
    <w:rsid w:val="3EFD6552"/>
    <w:rsid w:val="41CF2738"/>
    <w:rsid w:val="49DD25FA"/>
    <w:rsid w:val="4A9E303A"/>
    <w:rsid w:val="4B1F21AD"/>
    <w:rsid w:val="4C1C2604"/>
    <w:rsid w:val="4DD3727F"/>
    <w:rsid w:val="5C2C7702"/>
    <w:rsid w:val="5EF1736D"/>
    <w:rsid w:val="610E7483"/>
    <w:rsid w:val="64FE17A5"/>
    <w:rsid w:val="6A5639FE"/>
    <w:rsid w:val="6A687275"/>
    <w:rsid w:val="723074CC"/>
    <w:rsid w:val="77C46D82"/>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14:defaultImageDpi w14:val="32767"/>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11">
    <w:name w:val="Default Paragraph Font"/>
    <w:semiHidden/>
    <w:unhideWhenUsed/>
    <w:uiPriority w:val="1"/>
  </w:style>
  <w:style w:type="table" w:default="1" w:styleId="9">
    <w:name w:val="Normal Table"/>
    <w:semiHidden/>
    <w:unhideWhenUsed/>
    <w:uiPriority w:val="99"/>
    <w:tblPr>
      <w:tblCellMar>
        <w:top w:w="0" w:type="dxa"/>
        <w:left w:w="108" w:type="dxa"/>
        <w:bottom w:w="0" w:type="dxa"/>
        <w:right w:w="108" w:type="dxa"/>
      </w:tblCellMar>
    </w:tblPr>
  </w:style>
  <w:style w:type="paragraph" w:styleId="2">
    <w:name w:val="caption"/>
    <w:basedOn w:val="1"/>
    <w:next w:val="1"/>
    <w:unhideWhenUsed/>
    <w:qFormat/>
    <w:uiPriority w:val="0"/>
    <w:rPr>
      <w:rFonts w:ascii="Arial" w:hAnsi="Arial" w:eastAsia="黑体"/>
      <w:sz w:val="20"/>
    </w:rPr>
  </w:style>
  <w:style w:type="paragraph" w:styleId="3">
    <w:name w:val="toc 3"/>
    <w:basedOn w:val="1"/>
    <w:next w:val="1"/>
    <w:qFormat/>
    <w:uiPriority w:val="39"/>
    <w:pPr>
      <w:ind w:left="840" w:leftChars="400"/>
    </w:p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6">
    <w:name w:val="toc 1"/>
    <w:basedOn w:val="1"/>
    <w:next w:val="1"/>
    <w:qFormat/>
    <w:uiPriority w:val="39"/>
  </w:style>
  <w:style w:type="paragraph" w:styleId="7">
    <w:name w:val="toc 4"/>
    <w:basedOn w:val="1"/>
    <w:next w:val="1"/>
    <w:qFormat/>
    <w:uiPriority w:val="39"/>
    <w:pPr>
      <w:ind w:left="1260" w:leftChars="600"/>
    </w:pPr>
  </w:style>
  <w:style w:type="paragraph" w:styleId="8">
    <w:name w:val="toc 2"/>
    <w:basedOn w:val="1"/>
    <w:next w:val="1"/>
    <w:qFormat/>
    <w:uiPriority w:val="39"/>
    <w:pPr>
      <w:ind w:left="420" w:leftChars="200"/>
    </w:p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Hyperlink"/>
    <w:basedOn w:val="11"/>
    <w:unhideWhenUsed/>
    <w:qFormat/>
    <w:uiPriority w:val="99"/>
    <w:rPr>
      <w:color w:val="0026E5" w:themeColor="hyperlink"/>
      <w:u w:val="single"/>
      <w14:textFill>
        <w14:solidFill>
          <w14:schemeClr w14:val="hlink"/>
        </w14:solidFill>
      </w14:textFill>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chart" Target="charts/chart1.xml"/><Relationship Id="rId44" Type="http://schemas.openxmlformats.org/officeDocument/2006/relationships/fontTable" Target="fontTable.xml"/><Relationship Id="rId43" Type="http://schemas.openxmlformats.org/officeDocument/2006/relationships/numbering" Target="numbering.xml"/><Relationship Id="rId42" Type="http://schemas.openxmlformats.org/officeDocument/2006/relationships/customXml" Target="../customXml/item1.xml"/><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theme" Target="theme/theme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4" Type="http://schemas.microsoft.com/office/2011/relationships/chartColorStyle" Target="colors1.xml"/><Relationship Id="rId3" Type="http://schemas.microsoft.com/office/2011/relationships/chartStyle" Target="style1.xml"/><Relationship Id="rId2" Type="http://schemas.openxmlformats.org/officeDocument/2006/relationships/themeOverride" Target="../theme/themeOverride1.xml"/><Relationship Id="rId1" Type="http://schemas.openxmlformats.org/officeDocument/2006/relationships/package" Target="../embeddings/Workbook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forceAA="0"/>
          <a:lstStyle/>
          <a:p>
            <a:pPr defTabSz="914400">
              <a:defRPr lang="zh-CN" sz="1400" b="0" i="0" u="none" strike="noStrike" kern="1200" spc="0" baseline="0">
                <a:solidFill>
                  <a:schemeClr val="tx1">
                    <a:lumMod val="75000"/>
                    <a:lumOff val="25000"/>
                  </a:schemeClr>
                </a:solidFill>
                <a:latin typeface="微软雅黑" panose="020B0503020204020204" pitchFamily="34" charset="-122"/>
                <a:ea typeface="微软雅黑" panose="020B0503020204020204" pitchFamily="34" charset="-122"/>
                <a:cs typeface="微软雅黑" panose="020B0503020204020204" pitchFamily="34" charset="-122"/>
                <a:sym typeface="微软雅黑" panose="020B0503020204020204" pitchFamily="34" charset="-122"/>
              </a:defRPr>
            </a:pPr>
            <a:r>
              <a:rPr lang="zh-CN" altLang="en-US"/>
              <a:t>职业教育数字化转型政策导向</a:t>
            </a:r>
            <a:endParaRPr lang="zh-CN" altLang="en-US"/>
          </a:p>
        </c:rich>
      </c:tx>
      <c:layout>
        <c:manualLayout>
          <c:xMode val="edge"/>
          <c:yMode val="edge"/>
          <c:x val="0.29632761536603"/>
          <c:y val="0.0291117722056949"/>
        </c:manualLayout>
      </c:layout>
      <c:overlay val="0"/>
      <c:spPr>
        <a:noFill/>
        <a:ln>
          <a:noFill/>
        </a:ln>
        <a:effectLst/>
      </c:spPr>
    </c:title>
    <c:autoTitleDeleted val="0"/>
    <c:plotArea>
      <c:layout/>
      <c:doughnutChart>
        <c:varyColors val="1"/>
        <c:ser>
          <c:idx val="0"/>
          <c:order val="0"/>
          <c:tx>
            <c:strRef>
              <c:f>Sheet1!$B$1</c:f>
              <c:strCache>
                <c:ptCount val="1"/>
                <c:pt idx="0">
                  <c:v>职业教育于数字化转型的三大导向</c:v>
                </c:pt>
              </c:strCache>
            </c:strRef>
          </c:tx>
          <c:spPr>
            <a:ln w="19050">
              <a:solidFill>
                <a:schemeClr val="bg1"/>
              </a:solidFill>
            </a:ln>
          </c:spPr>
          <c:explosion val="0"/>
          <c:dPt>
            <c:idx val="0"/>
            <c:bubble3D val="0"/>
            <c:spPr>
              <a:solidFill>
                <a:schemeClr val="accent1"/>
              </a:solidFill>
              <a:ln w="19050">
                <a:solidFill>
                  <a:schemeClr val="bg1"/>
                </a:solidFill>
              </a:ln>
              <a:effectLst/>
            </c:spPr>
          </c:dPt>
          <c:dPt>
            <c:idx val="1"/>
            <c:bubble3D val="0"/>
            <c:spPr>
              <a:solidFill>
                <a:schemeClr val="accent2"/>
              </a:solidFill>
              <a:ln w="19050">
                <a:solidFill>
                  <a:schemeClr val="bg1"/>
                </a:solidFill>
              </a:ln>
              <a:effectLst/>
            </c:spPr>
          </c:dPt>
          <c:dPt>
            <c:idx val="2"/>
            <c:bubble3D val="0"/>
            <c:spPr>
              <a:solidFill>
                <a:schemeClr val="accent3"/>
              </a:solidFill>
              <a:ln w="19050">
                <a:solidFill>
                  <a:schemeClr val="bg1"/>
                </a:solidFill>
              </a:ln>
              <a:effectLst/>
            </c:spPr>
          </c:dPt>
          <c:dLbls>
            <c:dLbl>
              <c:idx val="0"/>
              <c:layout>
                <c:manualLayout>
                  <c:x val="0.208510048661339"/>
                  <c:y val="-0.132442387299594"/>
                </c:manualLayout>
              </c:layout>
              <c:tx>
                <c:rich>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微软雅黑" panose="020B0503020204020204" pitchFamily="34" charset="-122"/>
                        <a:ea typeface="微软雅黑" panose="020B0503020204020204" pitchFamily="34" charset="-122"/>
                        <a:cs typeface="微软雅黑" panose="020B0503020204020204" pitchFamily="34" charset="-122"/>
                        <a:sym typeface="微软雅黑" panose="020B0503020204020204" pitchFamily="34" charset="-122"/>
                      </a:defRPr>
                    </a:pPr>
                    <a:r>
                      <a:rPr lang="zh-CN" altLang="en-US"/>
                      <a:t>从“标准化培养”到“个性化成才”</a:t>
                    </a:r>
                    <a:endParaRPr lang="zh-CN" altLang="en-US"/>
                  </a:p>
                </c:rich>
              </c:tx>
              <c:showLegendKey val="0"/>
              <c:showVal val="0"/>
              <c:showCatName val="0"/>
              <c:showSerName val="0"/>
              <c:showPercent val="1"/>
              <c:showBubbleSize val="0"/>
              <c:extLst>
                <c:ext xmlns:c15="http://schemas.microsoft.com/office/drawing/2012/chart" uri="{CE6537A1-D6FC-4f65-9D91-7224C49458BB}">
                  <c15:layout>
                    <c:manualLayout>
                      <c:w val="0.352500604010631"/>
                      <c:h val="0.107734806629834"/>
                    </c:manualLayout>
                  </c15:layout>
                </c:ext>
              </c:extLst>
            </c:dLbl>
            <c:dLbl>
              <c:idx val="1"/>
              <c:layout>
                <c:manualLayout>
                  <c:x val="0.30261692985844"/>
                  <c:y val="0.0748113606793823"/>
                </c:manualLayout>
              </c:layout>
              <c:tx>
                <c:rich>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微软雅黑" panose="020B0503020204020204" pitchFamily="34" charset="-122"/>
                        <a:ea typeface="微软雅黑" panose="020B0503020204020204" pitchFamily="34" charset="-122"/>
                        <a:cs typeface="微软雅黑" panose="020B0503020204020204" pitchFamily="34" charset="-122"/>
                        <a:sym typeface="微软雅黑" panose="020B0503020204020204" pitchFamily="34" charset="-122"/>
                      </a:defRPr>
                    </a:pPr>
                    <a:r>
                      <a:rPr lang="zh-CN" altLang="en-US"/>
                      <a:t>从“资源建设”到“能力赋能”</a:t>
                    </a:r>
                    <a:endParaRPr lang="zh-CN" altLang="en-US"/>
                  </a:p>
                </c:rich>
              </c:tx>
              <c:showLegendKey val="0"/>
              <c:showVal val="0"/>
              <c:showCatName val="0"/>
              <c:showSerName val="0"/>
              <c:showPercent val="1"/>
              <c:showBubbleSize val="0"/>
              <c:extLst>
                <c:ext xmlns:c15="http://schemas.microsoft.com/office/drawing/2012/chart" uri="{CE6537A1-D6FC-4f65-9D91-7224C49458BB}">
                  <c15:layout>
                    <c:manualLayout>
                      <c:w val="0.353829427397922"/>
                      <c:h val="0.0618359541011475"/>
                    </c:manualLayout>
                  </c15:layout>
                </c:ext>
              </c:extLst>
            </c:dLbl>
            <c:dLbl>
              <c:idx val="2"/>
              <c:layout>
                <c:manualLayout>
                  <c:x val="-0.196550650672525"/>
                  <c:y val="-0.139963018593866"/>
                </c:manualLayout>
              </c:layout>
              <c:tx>
                <c:rich>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微软雅黑" panose="020B0503020204020204" pitchFamily="34" charset="-122"/>
                        <a:ea typeface="微软雅黑" panose="020B0503020204020204" pitchFamily="34" charset="-122"/>
                        <a:cs typeface="微软雅黑" panose="020B0503020204020204" pitchFamily="34" charset="-122"/>
                        <a:sym typeface="微软雅黑" panose="020B0503020204020204" pitchFamily="34" charset="-122"/>
                      </a:defRPr>
                    </a:pPr>
                    <a:r>
                      <a:rPr lang="zh-CN" altLang="en-US"/>
                      <a:t>从“校园管理”到“产教融合智治”</a:t>
                    </a:r>
                    <a:endParaRPr lang="zh-CN" altLang="en-US"/>
                  </a:p>
                </c:rich>
              </c:tx>
              <c:showLegendKey val="0"/>
              <c:showVal val="0"/>
              <c:showCatName val="0"/>
              <c:showSerName val="0"/>
              <c:showPercent val="1"/>
              <c:showBubbleSize val="0"/>
              <c:extLst>
                <c:ext xmlns:c15="http://schemas.microsoft.com/office/drawing/2012/chart" uri="{CE6537A1-D6FC-4f65-9D91-7224C49458BB}">
                  <c15:layout>
                    <c:manualLayout>
                      <c:w val="0.37641942498188"/>
                      <c:h val="0.0618359541011475"/>
                    </c:manualLayout>
                  </c15:layout>
                </c:ext>
              </c:extLst>
            </c:dLbl>
            <c:spPr>
              <a:noFill/>
              <a:ln>
                <a:noFill/>
              </a:ln>
              <a:effectLst/>
            </c:spPr>
            <c:txPr>
              <a:bodyPr rot="0" spcFirstLastPara="0" vertOverflow="ellipsis" vert="horz" wrap="square" lIns="38100" tIns="19050" rIns="38100" bIns="19050" anchor="ctr" anchorCtr="1" forceAA="0"/>
              <a:lstStyle/>
              <a:p>
                <a:pPr>
                  <a:defRPr lang="zh-CN" sz="900" b="0" i="0" u="none" strike="noStrike" kern="1200" baseline="0">
                    <a:solidFill>
                      <a:schemeClr val="tx1">
                        <a:lumMod val="75000"/>
                        <a:lumOff val="25000"/>
                      </a:schemeClr>
                    </a:solidFill>
                    <a:latin typeface="微软雅黑" panose="020B0503020204020204" pitchFamily="34" charset="-122"/>
                    <a:ea typeface="微软雅黑" panose="020B0503020204020204" pitchFamily="34" charset="-122"/>
                    <a:cs typeface="微软雅黑" panose="020B0503020204020204" pitchFamily="34" charset="-122"/>
                    <a:sym typeface="微软雅黑" panose="020B0503020204020204" pitchFamily="34" charset="-122"/>
                  </a:defRPr>
                </a:pPr>
              </a:p>
            </c:txPr>
            <c:showLegendKey val="0"/>
            <c:showVal val="0"/>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导向一</c:v>
                </c:pt>
                <c:pt idx="1">
                  <c:v>导向二</c:v>
                </c:pt>
                <c:pt idx="2">
                  <c:v>导向三</c:v>
                </c:pt>
              </c:strCache>
            </c:strRef>
          </c:cat>
          <c:val>
            <c:numRef>
              <c:f>Sheet1!$B$2:$B$4</c:f>
              <c:numCache>
                <c:formatCode>General</c:formatCode>
                <c:ptCount val="3"/>
                <c:pt idx="0">
                  <c:v>3.3</c:v>
                </c:pt>
                <c:pt idx="1">
                  <c:v>3.3</c:v>
                </c:pt>
                <c:pt idx="2">
                  <c:v>3.3</c:v>
                </c:pt>
              </c:numCache>
            </c:numRef>
          </c:val>
        </c:ser>
        <c:dLbls>
          <c:showLegendKey val="0"/>
          <c:showVal val="1"/>
          <c:showCatName val="0"/>
          <c:showSerName val="0"/>
          <c:showPercent val="0"/>
          <c:showBubbleSize val="0"/>
          <c:showLeaderLines val="1"/>
        </c:dLbls>
        <c:firstSliceAng val="0"/>
        <c:holeSize val="50"/>
      </c:doughnutChart>
      <c:spPr>
        <a:noFill/>
        <a:ln>
          <a:noFill/>
        </a:ln>
        <a:effectLst/>
      </c:spPr>
    </c:plotArea>
    <c:legend>
      <c:legendPos val="t"/>
      <c:layout/>
      <c:overlay val="0"/>
      <c:spPr>
        <a:noFill/>
        <a:ln>
          <a:noFill/>
        </a:ln>
        <a:effectLst/>
      </c:spPr>
      <c:txPr>
        <a:bodyPr rot="0" spcFirstLastPara="0" vertOverflow="ellipsis" vert="horz" wrap="square" anchor="ctr" anchorCtr="1" forceAA="0"/>
        <a:lstStyle/>
        <a:p>
          <a:pPr>
            <a:defRPr lang="zh-CN" sz="900" b="0" i="0" u="none" strike="noStrike" kern="1200" baseline="0">
              <a:solidFill>
                <a:schemeClr val="tx1">
                  <a:lumMod val="75000"/>
                  <a:lumOff val="25000"/>
                </a:schemeClr>
              </a:solidFill>
              <a:latin typeface="微软雅黑" panose="020B0503020204020204" pitchFamily="34" charset="-122"/>
              <a:ea typeface="微软雅黑" panose="020B0503020204020204" pitchFamily="34" charset="-122"/>
              <a:cs typeface="微软雅黑" panose="020B0503020204020204" pitchFamily="34" charset="-122"/>
              <a:sym typeface="微软雅黑" panose="020B0503020204020204" pitchFamily="34" charset="-122"/>
            </a:defRPr>
          </a:pPr>
        </a:p>
      </c:txPr>
    </c:legend>
    <c:plotVisOnly val="1"/>
    <c:dispBlanksAs val="gap"/>
    <c:showDLblsOverMax val="0"/>
    <c:extLst>
      <c:ext uri="{0b15fc19-7d7d-44ad-8c2d-2c3a37ce22c3}">
        <chartProps xmlns="https://web.wps.cn/et/2018/main" chartId="{9f577e58-db12-48f4-9a2c-297df8dc1ee9}"/>
      </c:ext>
    </c:extLst>
  </c:chart>
  <c:spPr>
    <a:solidFill>
      <a:schemeClr val="bg1"/>
    </a:solidFill>
    <a:ln w="6350" cap="flat" cmpd="sng" algn="ctr">
      <a:noFill/>
      <a:round/>
    </a:ln>
    <a:effectLst/>
  </c:spPr>
  <c:txPr>
    <a:bodyPr/>
    <a:lstStyle/>
    <a:p>
      <a:pPr>
        <a:defRPr lang="zh-CN">
          <a:solidFill>
            <a:schemeClr val="tx1">
              <a:lumMod val="75000"/>
              <a:lumOff val="25000"/>
            </a:schemeClr>
          </a:solidFill>
          <a:latin typeface="微软雅黑" panose="020B0503020204020204" pitchFamily="34" charset="-122"/>
          <a:ea typeface="微软雅黑" panose="020B0503020204020204" pitchFamily="34" charset="-122"/>
          <a:cs typeface="微软雅黑" panose="020B0503020204020204" pitchFamily="34" charset="-122"/>
          <a:sym typeface="微软雅黑" panose="020B0503020204020204" pitchFamily="34" charset="-122"/>
        </a:defRPr>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word/theme/themeOverride1.xml><?xml version="1.0" encoding="utf-8"?>
<a:themeOverride xmlns:a="http://schemas.openxmlformats.org/drawingml/2006/main">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126</Pages>
  <Words>11991</Words>
  <Characters>12692</Characters>
  <Lines>2085</Lines>
  <Paragraphs>1055</Paragraphs>
  <TotalTime>25</TotalTime>
  <ScaleCrop>false</ScaleCrop>
  <LinksUpToDate>false</LinksUpToDate>
  <CharactersWithSpaces>12897</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2026-02-02T02:40:00Z</dcterms:created>
  <dc:creator>Administrator</dc:creator>
  <cp:lastModifiedBy>☆馨</cp:lastModifiedBy>
  <cp:lastPrinted>2026-02-07T02:26:00Z</cp:lastPrinted>
  <dcterms:modified xsi:type="dcterms:W3CDTF">2026-02-07T02:27:24Z</dcterms:modified>
  <cp:revision>140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KSOTemplateDocerSaveRecord">
    <vt:lpwstr>eyJoZGlkIjoiMWJmYmVhMGQ2YWQwOTc0ZDFkYmVkZTE0NzFkNThlYzIiLCJ1c2VySWQiOiI0MDIwNzY5NDUifQ==</vt:lpwstr>
  </property>
  <property fmtid="{D5CDD505-2E9C-101B-9397-08002B2CF9AE}" pid="4" name="ICV">
    <vt:lpwstr>7A00180B1AE74E279E5C3C29901BF207_13</vt:lpwstr>
  </property>
</Properties>
</file>