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A3C5E" w:val="clear"/>
            <w:tcMar>
              <w:top w:type="dxa" w:w="320"/>
              <w:left w:type="dxa" w:w="400"/>
              <w:bottom w:type="dxa" w:w="320"/>
              <w:right w:type="dxa" w:w="4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64"/>
                <w:szCs w:val="64"/>
              </w:rPr>
              <w:t xml:space="preserve">O'Process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8DCFC4"/>
                <w:sz w:val="32"/>
                <w:szCs w:val="32"/>
              </w:rPr>
              <w:t xml:space="preserve">企业流程智能引擎 · MCP Edition</w:t>
            </w:r>
          </w:p>
          <w:p>
            <w:pPr>
              <w:spacing w:before="80"/>
              <w:jc w:val="center"/>
            </w:pPr>
            <w:r>
              <w:rPr>
                <w:rFonts w:ascii="Arial" w:cs="Arial" w:eastAsia="Arial" w:hAnsi="Arial"/>
                <w:color w:val="6B9DAE"/>
                <w:sz w:val="20"/>
                <w:szCs w:val="20"/>
              </w:rPr>
              <w:t xml:space="preserve">产品需求文档  PRD v2.0  |  含 Governance-Lite 融合层</w:t>
            </w:r>
          </w:p>
        </w:tc>
      </w:tr>
    </w:tbl>
    <w:p>
      <w:pPr>
        <w:spacing w:before="200" w:after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880"/>
        <w:gridCol w:w="1800"/>
        <w:gridCol w:w="2880"/>
      </w:tblGrid>
      <w:tr>
        <w:tc>
          <w:tcPr>
            <w:tcW w:type="dxa" w:w="1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E8F4F2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文档版本</w:t>
            </w:r>
          </w:p>
        </w:tc>
        <w:tc>
          <w:tcPr>
            <w:tcW w:type="dxa" w:w="288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3C5E"/>
                <w:sz w:val="20"/>
                <w:szCs w:val="20"/>
              </w:rPr>
              <w:t xml:space="preserve">v2.0</w:t>
            </w:r>
          </w:p>
        </w:tc>
        <w:tc>
          <w:tcPr>
            <w:tcW w:type="dxa" w:w="1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E8F4F2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基于版本</w:t>
            </w:r>
          </w:p>
        </w:tc>
        <w:tc>
          <w:tcPr>
            <w:tcW w:type="dxa" w:w="288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3C5E"/>
                <w:sz w:val="20"/>
                <w:szCs w:val="20"/>
              </w:rPr>
              <w:t xml:space="preserve">v1.0 + HPG Server 融合</w:t>
            </w:r>
          </w:p>
        </w:tc>
      </w:tr>
      <w:tr>
        <w:tc>
          <w:tcPr>
            <w:tcW w:type="dxa" w:w="1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E8F4F2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产品名称</w:t>
            </w:r>
          </w:p>
        </w:tc>
        <w:tc>
          <w:tcPr>
            <w:tcW w:type="dxa" w:w="288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7B6C"/>
                <w:sz w:val="20"/>
                <w:szCs w:val="20"/>
              </w:rPr>
              <w:t xml:space="preserve">O'Process</w:t>
            </w:r>
          </w:p>
        </w:tc>
        <w:tc>
          <w:tcPr>
            <w:tcW w:type="dxa" w:w="1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E8F4F2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状态</w:t>
            </w:r>
          </w:p>
        </w:tc>
        <w:tc>
          <w:tcPr>
            <w:tcW w:type="dxa" w:w="288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3C5E"/>
                <w:sz w:val="20"/>
                <w:szCs w:val="20"/>
              </w:rPr>
              <w:t xml:space="preserve">草稿 → 待审</w:t>
            </w:r>
          </w:p>
        </w:tc>
      </w:tr>
      <w:tr>
        <w:tc>
          <w:tcPr>
            <w:tcW w:type="dxa" w:w="1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E8F4F2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作者</w:t>
            </w:r>
          </w:p>
        </w:tc>
        <w:tc>
          <w:tcPr>
            <w:tcW w:type="dxa" w:w="288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3C5E"/>
                <w:sz w:val="20"/>
                <w:szCs w:val="20"/>
              </w:rPr>
              <w:t xml:space="preserve">Tim O</w:t>
            </w:r>
          </w:p>
        </w:tc>
        <w:tc>
          <w:tcPr>
            <w:tcW w:type="dxa" w:w="1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E8F4F2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日期</w:t>
            </w:r>
          </w:p>
        </w:tc>
        <w:tc>
          <w:tcPr>
            <w:tcW w:type="dxa" w:w="288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3C5E"/>
                <w:sz w:val="20"/>
                <w:szCs w:val="20"/>
              </w:rPr>
              <w:t xml:space="preserve">2026-02-23</w:t>
            </w:r>
          </w:p>
        </w:tc>
      </w:tr>
      <w:tr>
        <w:tc>
          <w:tcPr>
            <w:tcW w:type="dxa" w:w="1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E8F4F2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v2.0 核心变化</w:t>
            </w:r>
          </w:p>
        </w:tc>
        <w:tc>
          <w:tcPr>
            <w:tcW w:type="dxa" w:w="7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增加 Governance-Lite 层（溯源 · 审计 · 边界检测），架构预留 HPG 接入点</w:t>
            </w:r>
          </w:p>
        </w:tc>
      </w:tr>
    </w:tbl>
    <w:p>
      <w:pPr>
        <w:spacing w:before="300" w:after="0"/>
      </w:pPr>
      <w:r>
        <w:t xml:space="preserve"/>
      </w:r>
    </w:p>
    <w:p>
      <w:pPr>
        <w:pStyle w:val="Heading1"/>
        <w:spacing w:before="400" w:after="180"/>
      </w:pPr>
      <w:r>
        <w:rPr>
          <w:rFonts w:ascii="Arial" w:cs="Arial" w:eastAsia="Arial" w:hAnsi="Arial"/>
          <w:b/>
          <w:bCs/>
          <w:color w:val="1A3C5E"/>
          <w:sz w:val="38"/>
          <w:szCs w:val="38"/>
        </w:rPr>
        <w:t xml:space="preserve">0. 文档使用指引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"/>
        <w:gridCol w:w="9180"/>
      </w:tblGrid>
      <w:tr>
        <w:tc>
          <w:tcPr>
            <w:tcW w:type="dxa" w:w="180"/>
            <w:tcBorders>
              <w:top w:val="single" w:color="0F7B6C" w:sz="1"/>
              <w:left w:val="single" w:color="0F7B6C" w:sz="1"/>
              <w:bottom w:val="single" w:color="0F7B6C" w:sz="1"/>
              <w:right w:val="none" w:color="FFFFFF" w:sz="0"/>
            </w:tcBorders>
            <w:shd w:fill="E8F4F2" w:val="clear"/>
            <w:tcMar>
              <w:top w:type="dxa" w:w="100"/>
              <w:left w:type="dxa" w:w="140"/>
              <w:bottom w:type="dxa" w:w="100"/>
              <w:right w:type="dxa" w:w="0"/>
            </w:tcMar>
          </w:tcPr>
          <w:p>
            <w:r>
              <w:rPr>
                <w:rFonts w:ascii="Arial" w:cs="Arial" w:eastAsia="Arial" w:hAnsi="Arial"/>
                <w:b/>
                <w:bCs/>
                <w:color w:val="0F7B6C"/>
                <w:sz w:val="20"/>
                <w:szCs w:val="20"/>
              </w:rPr>
              <w:t xml:space="preserve">ℹ  </w:t>
            </w:r>
          </w:p>
        </w:tc>
        <w:tc>
          <w:tcPr>
            <w:tcW w:type="dxa" w:w="9180"/>
            <w:tcBorders>
              <w:top w:val="single" w:color="0F7B6C" w:sz="1"/>
              <w:left w:val="none" w:color="FFFFFF" w:sz="0"/>
              <w:bottom w:val="single" w:color="0F7B6C" w:sz="1"/>
              <w:right w:val="single" w:color="0F7B6C" w:sz="1"/>
            </w:tcBorders>
            <w:shd w:fill="E8F4F2" w:val="clear"/>
            <w:tcMar>
              <w:top w:type="dxa" w:w="100"/>
              <w:left w:type="dxa" w:w="100"/>
              <w:bottom w:type="dxa" w:w="100"/>
              <w:right w:type="dxa" w:w="14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color w:val="1A3C5E"/>
                <w:sz w:val="20"/>
                <w:szCs w:val="20"/>
              </w:rPr>
              <w:t xml:space="preserve">v2.0 新增 Governance-Lite 层（溯源 · 审计日志 · 边界检测），来自 HPG Server 设计的选择性融合。Claude Code 执行时请按第 5 节 Governance-Lite spec 实现三个新能力，其余结构与 v1.0 一致。</w:t>
            </w:r>
          </w:p>
        </w:tc>
      </w:tr>
    </w:tbl>
    <w:p>
      <w:pPr>
        <w:spacing w:before="80" w:after="0"/>
      </w:pPr>
      <w:r>
        <w:t xml:space="preserve"/>
      </w:r>
    </w:p>
    <w:p>
      <w:pPr>
        <w:pStyle w:val="Heading3"/>
        <w:spacing w:before="200" w:after="100"/>
      </w:pPr>
      <w:r>
        <w:rPr>
          <w:rFonts w:ascii="Arial" w:cs="Arial" w:eastAsia="Arial" w:hAnsi="Arial"/>
          <w:b/>
          <w:bCs/>
          <w:color w:val="1A3C5E"/>
          <w:sz w:val="24"/>
          <w:szCs w:val="24"/>
        </w:rPr>
        <w:t xml:space="preserve">融合原则</w:t>
      </w:r>
    </w:p>
    <w:p>
      <w:pPr>
        <w:spacing w:before="80" w:after="80" w:line="320"/>
        <w:jc w:val="left"/>
      </w:pPr>
      <w:r>
        <w:rPr>
          <w:rFonts w:ascii="Arial" w:cs="Arial" w:eastAsia="Arial" w:hAnsi="Arial"/>
          <w:b w:val="false"/>
          <w:bCs w:val="false"/>
          <w:color w:val="4A5568"/>
          <w:sz w:val="20"/>
          <w:szCs w:val="20"/>
        </w:rPr>
        <w:t xml:space="preserve">O'Process 是流程知识工具，不是 Agent 治理平台。HPG Server 的融合内容必须满足：对用户透明（不增加调用复杂度）、对 O'Process 主功能无侵入、为未来 HPG 完整接入预留但不预实现。</w:t>
      </w:r>
    </w:p>
    <w:p>
      <w:pPr>
        <w:spacing w:before="80" w:after="0"/>
      </w:pPr>
      <w:r>
        <w:t xml:space="preserve"/>
      </w:r>
    </w:p>
    <w:p>
      <w:pPr>
        <w:pStyle w:val="Heading3"/>
        <w:spacing w:before="200" w:after="100"/>
      </w:pPr>
      <w:r>
        <w:rPr>
          <w:rFonts w:ascii="Arial" w:cs="Arial" w:eastAsia="Arial" w:hAnsi="Arial"/>
          <w:b/>
          <w:bCs/>
          <w:color w:val="1A3C5E"/>
          <w:sz w:val="24"/>
          <w:szCs w:val="24"/>
        </w:rPr>
        <w:t xml:space="preserve">Claude Code 执行顺序</w:t>
      </w:r>
    </w:p>
    <w:p>
      <w:pPr>
        <w:pStyle w:val="ListParagraph"/>
        <w:numPr>
          <w:ilvl w:val="0"/>
          <w:numId w:val="2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M-1：内容创作阶段（Tim O 主导，非 Claude Code 任务）</w:t>
      </w:r>
    </w:p>
    <w:p>
      <w:pPr>
        <w:pStyle w:val="ListParagraph"/>
        <w:numPr>
          <w:ilvl w:val="0"/>
          <w:numId w:val="2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M0：数据入库 + 数据结构定义（含 Gov-Lite 三个新结构）</w:t>
      </w:r>
    </w:p>
    <w:p>
      <w:pPr>
        <w:pStyle w:val="ListParagraph"/>
        <w:numPr>
          <w:ilvl w:val="0"/>
          <w:numId w:val="2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M1：MCP Server MVP + ToolGatewayInterface 抽象层</w:t>
      </w:r>
    </w:p>
    <w:p>
      <w:pPr>
        <w:pStyle w:val="ListParagraph"/>
        <w:numPr>
          <w:ilvl w:val="0"/>
          <w:numId w:val="2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M2：7 个 Tool 完整集 + Gov-Lite 三能力全部上线</w:t>
      </w:r>
    </w:p>
    <w:p>
      <w:pPr>
        <w:pStyle w:val="ListParagraph"/>
        <w:numPr>
          <w:ilvl w:val="0"/>
          <w:numId w:val="2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M3：集成验收 + 发布</w:t>
      </w:r>
    </w:p>
    <w:p>
      <w:pPr>
        <w:spacing w:before="200" w:after="0"/>
      </w:pPr>
      <w:r>
        <w:t xml:space="preserve"/>
      </w:r>
    </w:p>
    <w:p>
      <w:pPr>
        <w:pStyle w:val="Heading1"/>
        <w:spacing w:before="400" w:after="180"/>
      </w:pPr>
      <w:r>
        <w:rPr>
          <w:rFonts w:ascii="Arial" w:cs="Arial" w:eastAsia="Arial" w:hAnsi="Arial"/>
          <w:b/>
          <w:bCs/>
          <w:color w:val="1A3C5E"/>
          <w:sz w:val="38"/>
          <w:szCs w:val="38"/>
        </w:rPr>
        <w:t xml:space="preserve">1. 产品概述</w:t>
      </w:r>
    </w:p>
    <w:p>
      <w:pPr>
        <w:pStyle w:val="Heading2"/>
        <w:pBdr>
          <w:bottom w:val="single" w:color="0F7B6C" w:sz="4" w:space="4"/>
        </w:pBdr>
        <w:spacing w:before="280" w:after="140"/>
      </w:pPr>
      <w:r>
        <w:rPr>
          <w:rFonts w:ascii="Arial" w:cs="Arial" w:eastAsia="Arial" w:hAnsi="Arial"/>
          <w:b/>
          <w:bCs/>
          <w:color w:val="0F7B6C"/>
          <w:sz w:val="28"/>
          <w:szCs w:val="28"/>
        </w:rPr>
        <w:t xml:space="preserve">1.1 产品定位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0F7B6C" w:sz="1"/>
              <w:left w:val="single" w:color="0F7B6C" w:sz="24"/>
              <w:bottom w:val="single" w:color="0F7B6C" w:sz="1"/>
              <w:right w:val="single" w:color="0F7B6C" w:sz="1"/>
            </w:tcBorders>
            <w:shd w:fill="E8F4F2" w:val="clear"/>
            <w:tcMar>
              <w:top w:type="dxa" w:w="200"/>
              <w:left w:type="dxa" w:w="360"/>
              <w:bottom w:type="dxa" w:w="200"/>
              <w:right w:type="dxa" w:w="3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A3C5E"/>
                <w:sz w:val="24"/>
                <w:szCs w:val="24"/>
              </w:rPr>
              <w:t xml:space="preserve">O'Process 是部署在 MCP 客户端与企业流程知识库之间的智能查询引擎，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7B6C"/>
                <w:sz w:val="24"/>
                <w:szCs w:val="24"/>
              </w:rPr>
              <w:t xml:space="preserve">让 AI Agent 能够像资深管理咨询顾问一样理解企业流程。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2"/>
        <w:pBdr>
          <w:bottom w:val="single" w:color="0F7B6C" w:sz="4" w:space="4"/>
        </w:pBdr>
        <w:spacing w:before="280" w:after="140"/>
      </w:pPr>
      <w:r>
        <w:rPr>
          <w:rFonts w:ascii="Arial" w:cs="Arial" w:eastAsia="Arial" w:hAnsi="Arial"/>
          <w:b/>
          <w:bCs/>
          <w:color w:val="0F7B6C"/>
          <w:sz w:val="28"/>
          <w:szCs w:val="28"/>
        </w:rPr>
        <w:t xml:space="preserve">1.2 v2.0 核心变化：Governance-Lite 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"/>
        <w:gridCol w:w="9180"/>
      </w:tblGrid>
      <w:tr>
        <w:tc>
          <w:tcPr>
            <w:tcW w:type="dxa" w:w="180"/>
            <w:tcBorders>
              <w:top w:val="single" w:color="B8860B" w:sz="1"/>
              <w:left w:val="single" w:color="B8860B" w:sz="1"/>
              <w:bottom w:val="single" w:color="B8860B" w:sz="1"/>
              <w:right w:val="none" w:color="FFFFFF" w:sz="0"/>
            </w:tcBorders>
            <w:shd w:fill="FFF8E1" w:val="clear"/>
            <w:tcMar>
              <w:top w:type="dxa" w:w="100"/>
              <w:left w:type="dxa" w:w="140"/>
              <w:bottom w:type="dxa" w:w="100"/>
              <w:right w:type="dxa" w:w="0"/>
            </w:tcMar>
          </w:tcPr>
          <w:p>
            <w:r>
              <w:rPr>
                <w:rFonts w:ascii="Arial" w:cs="Arial" w:eastAsia="Arial" w:hAnsi="Arial"/>
                <w:b/>
                <w:bCs/>
                <w:color w:val="B8860B"/>
                <w:sz w:val="20"/>
                <w:szCs w:val="20"/>
              </w:rPr>
              <w:t xml:space="preserve">★  </w:t>
            </w:r>
          </w:p>
        </w:tc>
        <w:tc>
          <w:tcPr>
            <w:tcW w:type="dxa" w:w="9180"/>
            <w:tcBorders>
              <w:top w:val="single" w:color="B8860B" w:sz="1"/>
              <w:left w:val="none" w:color="FFFFFF" w:sz="0"/>
              <w:bottom w:val="single" w:color="B8860B" w:sz="1"/>
              <w:right w:val="single" w:color="B8860B" w:sz="1"/>
            </w:tcBorders>
            <w:shd w:fill="FFF8E1" w:val="clear"/>
            <w:tcMar>
              <w:top w:type="dxa" w:w="100"/>
              <w:left w:type="dxa" w:w="100"/>
              <w:bottom w:type="dxa" w:w="100"/>
              <w:right w:type="dxa" w:w="14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color w:val="1A3C5E"/>
                <w:sz w:val="20"/>
                <w:szCs w:val="20"/>
              </w:rPr>
              <w:t xml:space="preserve">v2.0 在原版 7 个 Tool 基础上，融合 HPG Server 设计中适合只读知识工具的三个治理能力，形成 Governance-Lite 层。这是 O'Process 的增强，不是替换。</w:t>
            </w:r>
          </w:p>
        </w:tc>
      </w:tr>
    </w:tbl>
    <w:p>
      <w:pPr>
        <w:spacing w:before="80" w:after="0"/>
      </w:pPr>
      <w:r>
        <w:t xml:space="preserve"/>
      </w:r>
    </w:p>
    <w:p>
      <w:pPr>
        <w:spacing w:before="80" w:after="80" w:line="320"/>
        <w:jc w:val="left"/>
      </w:pPr>
      <w:r>
        <w:rPr>
          <w:rFonts w:ascii="Arial" w:cs="Arial" w:eastAsia="Arial" w:hAnsi="Arial"/>
          <w:b w:val="false"/>
          <w:bCs w:val="false"/>
          <w:color w:val="4A5568"/>
          <w:sz w:val="20"/>
          <w:szCs w:val="20"/>
        </w:rPr>
        <w:t xml:space="preserve">Governance-Lite 层的三个能力对调用方完全透明：ProvenanceChain 自动附加在响应中，SessionAuditLog 后台静默写入，BoundaryResponse 仅在查询超出范围时替换空结果。用户的调用方式不变。</w:t>
      </w:r>
    </w:p>
    <w:p>
      <w:pPr>
        <w:spacing w:before="100" w:after="0"/>
      </w:pPr>
      <w:r>
        <w:t xml:space="preserve"/>
      </w:r>
    </w:p>
    <w:p>
      <w:pPr>
        <w:pStyle w:val="Heading2"/>
        <w:pBdr>
          <w:bottom w:val="single" w:color="0F7B6C" w:sz="4" w:space="4"/>
        </w:pBdr>
        <w:spacing w:before="280" w:after="140"/>
      </w:pPr>
      <w:r>
        <w:rPr>
          <w:rFonts w:ascii="Arial" w:cs="Arial" w:eastAsia="Arial" w:hAnsi="Arial"/>
          <w:b/>
          <w:bCs/>
          <w:color w:val="0F7B6C"/>
          <w:sz w:val="28"/>
          <w:szCs w:val="28"/>
        </w:rPr>
        <w:t xml:space="preserve">1.3 HPG Server 融合决策矩阵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2000"/>
        <w:gridCol w:w="2200"/>
        <w:gridCol w:w="1960"/>
        <w:gridCol w:w="1800"/>
      </w:tblGrid>
      <w:tr>
        <w:tc>
          <w:tcPr>
            <w:tcW w:type="dxa" w:w="14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HPG 源</w:t>
            </w:r>
          </w:p>
        </w:tc>
        <w:tc>
          <w:tcPr>
            <w:tcW w:type="dxa" w:w="20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HPG 原始能力</w:t>
            </w:r>
          </w:p>
        </w:tc>
        <w:tc>
          <w:tcPr>
            <w:tcW w:type="dxa" w:w="22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融合决策</w:t>
            </w:r>
          </w:p>
        </w:tc>
        <w:tc>
          <w:tcPr>
            <w:tcW w:type="dxa" w:w="196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O'Process 形态</w:t>
            </w:r>
          </w:p>
        </w:tc>
        <w:tc>
          <w:tcPr>
            <w:tcW w:type="dxa" w:w="18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原因</w:t>
            </w:r>
          </w:p>
        </w:tc>
      </w:tr>
      <w:tr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C 流程</w:t>
            </w:r>
          </w:p>
        </w:tc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声明级溯源图谱 ClaimNode EvidencePointerNode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4EDDA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55724"/>
                <w:sz w:val="20"/>
                <w:szCs w:val="20"/>
              </w:rPr>
              <w:t xml:space="preserve">✓ 融入</w:t>
            </w:r>
          </w:p>
        </w:tc>
        <w:tc>
          <w:tcPr>
            <w:tcW w:type="dxa" w:w="1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ProvenanceChain 字段附加在每个 Tool 响应中</w:t>
            </w:r>
          </w:p>
        </w:tc>
        <w:tc>
          <w:tcPr>
            <w:tcW w:type="dxa" w:w="1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法律 AI 场景必须能解释推导依据</w:t>
            </w:r>
          </w:p>
        </w:tc>
      </w:tr>
      <w:tr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B8860B"/>
                <w:sz w:val="20"/>
                <w:szCs w:val="20"/>
              </w:rPr>
              <w:t xml:space="preserve">A 流程</w:t>
            </w:r>
          </w:p>
        </w:tc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会话资源消耗追踪 两阶段预算门闸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8E1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B8860B"/>
                <w:sz w:val="20"/>
                <w:szCs w:val="20"/>
              </w:rPr>
              <w:t xml:space="preserve">⚡ 轻量化</w:t>
            </w:r>
          </w:p>
        </w:tc>
        <w:tc>
          <w:tcPr>
            <w:tcW w:type="dxa" w:w="1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SessionAuditLog 追加写入 无熔断无补偿</w:t>
            </w:r>
          </w:p>
        </w:tc>
        <w:tc>
          <w:tcPr>
            <w:tcW w:type="dxa" w:w="1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O'Process 只读 无写入操作需保护</w:t>
            </w:r>
          </w:p>
        </w:tc>
      </w:tr>
      <w:tr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B8860B"/>
                <w:sz w:val="20"/>
                <w:szCs w:val="20"/>
              </w:rPr>
              <w:t xml:space="preserve">B 流程</w:t>
            </w:r>
          </w:p>
        </w:tc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语义熵驱动状态机降级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8E1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B8860B"/>
                <w:sz w:val="20"/>
                <w:szCs w:val="20"/>
              </w:rPr>
              <w:t xml:space="preserve">⚡ 极简化</w:t>
            </w:r>
          </w:p>
        </w:tc>
        <w:tc>
          <w:tcPr>
            <w:tcW w:type="dxa" w:w="1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置信度阈值 → BoundaryResponse 结构化返回</w:t>
            </w:r>
          </w:p>
        </w:tc>
        <w:tc>
          <w:tcPr>
            <w:tcW w:type="dxa" w:w="1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无需 N 次采样 单次向量距离足够</w:t>
            </w:r>
          </w:p>
        </w:tc>
      </w:tr>
      <w:tr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3C5E"/>
                <w:sz w:val="20"/>
                <w:szCs w:val="20"/>
              </w:rPr>
              <w:t xml:space="preserve">架构层</w:t>
            </w:r>
          </w:p>
        </w:tc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工具执行网关作为独立控制面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E8F4F2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★ 预留接口</w:t>
            </w:r>
          </w:p>
        </w:tc>
        <w:tc>
          <w:tcPr>
            <w:tcW w:type="dxa" w:w="1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Tool 层抽象为 Gateway Interface 未来 HPG 可直接接入</w:t>
            </w:r>
          </w:p>
        </w:tc>
        <w:tc>
          <w:tcPr>
            <w:tcW w:type="dxa" w:w="1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不做 HPG 功能 但不封死扩展路径</w:t>
            </w:r>
          </w:p>
        </w:tc>
      </w:tr>
      <w:tr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A 流程</w:t>
            </w:r>
          </w:p>
        </w:tc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熔断 冻结 补偿事务 SafeCheckpoint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4A5568"/>
                <w:sz w:val="20"/>
                <w:szCs w:val="20"/>
              </w:rPr>
              <w:t xml:space="preserve">✗ 不融入</w:t>
            </w:r>
          </w:p>
        </w:tc>
        <w:tc>
          <w:tcPr>
            <w:tcW w:type="dxa" w:w="1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—</w:t>
            </w:r>
          </w:p>
        </w:tc>
        <w:tc>
          <w:tcPr>
            <w:tcW w:type="dxa" w:w="1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只读工具无业务对象状态需要保护</w:t>
            </w:r>
          </w:p>
        </w:tc>
      </w:tr>
      <w:tr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B 流程</w:t>
            </w:r>
          </w:p>
        </w:tc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FSM 编译 N次LLM采样 语义熵计算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4A5568"/>
                <w:sz w:val="20"/>
                <w:szCs w:val="20"/>
              </w:rPr>
              <w:t xml:space="preserve">✗ 不融入</w:t>
            </w:r>
          </w:p>
        </w:tc>
        <w:tc>
          <w:tcPr>
            <w:tcW w:type="dxa" w:w="1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—</w:t>
            </w:r>
          </w:p>
        </w:tc>
        <w:tc>
          <w:tcPr>
            <w:tcW w:type="dxa" w:w="1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实现成本与收益不匹配 MVP 阶段过重</w:t>
            </w:r>
          </w:p>
        </w:tc>
      </w:tr>
      <w:tr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C 流程</w:t>
            </w:r>
          </w:p>
        </w:tc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链下敏感存储 加密哈希防篡改日志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4A5568"/>
                <w:sz w:val="20"/>
                <w:szCs w:val="20"/>
              </w:rPr>
              <w:t xml:space="preserve">✗ 暂缓</w:t>
            </w:r>
          </w:p>
        </w:tc>
        <w:tc>
          <w:tcPr>
            <w:tcW w:type="dxa" w:w="1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—</w:t>
            </w:r>
          </w:p>
        </w:tc>
        <w:tc>
          <w:tcPr>
            <w:tcW w:type="dxa" w:w="1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合规需求明确后再引入 不提前过度工程</w:t>
            </w:r>
          </w:p>
        </w:tc>
      </w:tr>
    </w:tbl>
    <w:p>
      <w:pPr>
        <w:spacing w:before="200" w:after="0"/>
      </w:pPr>
      <w:r>
        <w:t xml:space="preserve"/>
      </w:r>
    </w:p>
    <w:p>
      <w:pPr>
        <w:pStyle w:val="Heading1"/>
        <w:spacing w:before="400" w:after="180"/>
      </w:pPr>
      <w:r>
        <w:rPr>
          <w:rFonts w:ascii="Arial" w:cs="Arial" w:eastAsia="Arial" w:hAnsi="Arial"/>
          <w:b/>
          <w:bCs/>
          <w:color w:val="1A3C5E"/>
          <w:sz w:val="38"/>
          <w:szCs w:val="38"/>
        </w:rPr>
        <w:t xml:space="preserve">2. 目标用户与核心场景</w:t>
      </w:r>
    </w:p>
    <w:p>
      <w:pPr>
        <w:pStyle w:val="Heading2"/>
        <w:pBdr>
          <w:bottom w:val="single" w:color="0F7B6C" w:sz="4" w:space="4"/>
        </w:pBdr>
        <w:spacing w:before="280" w:after="140"/>
      </w:pPr>
      <w:r>
        <w:rPr>
          <w:rFonts w:ascii="Arial" w:cs="Arial" w:eastAsia="Arial" w:hAnsi="Arial"/>
          <w:b/>
          <w:bCs/>
          <w:color w:val="0F7B6C"/>
          <w:sz w:val="28"/>
          <w:szCs w:val="28"/>
        </w:rPr>
        <w:t xml:space="preserve">2.1 用户画像</w:t>
      </w:r>
    </w:p>
    <w:p>
      <w:pPr>
        <w:pStyle w:val="Heading3"/>
        <w:spacing w:before="200" w:after="100"/>
      </w:pPr>
      <w:r>
        <w:rPr>
          <w:rFonts w:ascii="Arial" w:cs="Arial" w:eastAsia="Arial" w:hAnsi="Arial"/>
          <w:b/>
          <w:bCs/>
          <w:color w:val="1A3C5E"/>
          <w:sz w:val="24"/>
          <w:szCs w:val="24"/>
        </w:rPr>
        <w:t xml:space="preserve">主要用户（MVP）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Tim O — OPC 法律 AI：Agent 调用 O'Process 确定客户业务流程节点，ProvenanceChain 提供律师可读的推导依据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Tim O — 食品公司运营：供应链 SOP 框架生成，岗位说明书对标原创流程体系</w:t>
      </w:r>
    </w:p>
    <w:p>
      <w:pPr>
        <w:pStyle w:val="Heading3"/>
        <w:spacing w:before="200" w:after="100"/>
      </w:pPr>
      <w:r>
        <w:rPr>
          <w:rFonts w:ascii="Arial" w:cs="Arial" w:eastAsia="Arial" w:hAnsi="Arial"/>
          <w:b/>
          <w:bCs/>
          <w:color w:val="1A3C5E"/>
          <w:sz w:val="24"/>
          <w:szCs w:val="24"/>
        </w:rPr>
        <w:t xml:space="preserve">次要用户（发布后）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HR 顾问：对标原创多语言流程体系生成岗位说明书，溯源附录直接用于交付物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ERP 实施顾问：业务蓝图阶段流程分类对标，BoundaryResponse 帮助识别超出标准范围的流程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AI 开发者：在自己的 Agent 中接入 O'Process，获得流程感知 + 溯源能力</w:t>
      </w:r>
    </w:p>
    <w:p>
      <w:pPr>
        <w:spacing w:before="100" w:after="0"/>
      </w:pPr>
      <w:r>
        <w:t xml:space="preserve"/>
      </w:r>
    </w:p>
    <w:p>
      <w:pPr>
        <w:pStyle w:val="Heading2"/>
        <w:pBdr>
          <w:bottom w:val="single" w:color="0F7B6C" w:sz="4" w:space="4"/>
        </w:pBdr>
        <w:spacing w:before="280" w:after="140"/>
      </w:pPr>
      <w:r>
        <w:rPr>
          <w:rFonts w:ascii="Arial" w:cs="Arial" w:eastAsia="Arial" w:hAnsi="Arial"/>
          <w:b/>
          <w:bCs/>
          <w:color w:val="0F7B6C"/>
          <w:sz w:val="28"/>
          <w:szCs w:val="28"/>
        </w:rPr>
        <w:t xml:space="preserve">2.2 核心场景（含 Gov-Lite 体现）</w:t>
      </w:r>
    </w:p>
    <w:p>
      <w:pPr>
        <w:pStyle w:val="Heading3"/>
        <w:spacing w:before="200" w:after="100"/>
      </w:pPr>
      <w:r>
        <w:rPr>
          <w:rFonts w:ascii="Arial" w:cs="Arial" w:eastAsia="Arial" w:hAnsi="Arial"/>
          <w:b/>
          <w:bCs/>
          <w:color w:val="1A3C5E"/>
          <w:sz w:val="24"/>
          <w:szCs w:val="24"/>
        </w:rPr>
        <w:t xml:space="preserve">场景 A：法律 AI 流程定位（OPC 项目）</w:t>
      </w:r>
    </w:p>
    <w:p>
      <w:pPr>
        <w:spacing w:before="80" w:after="80" w:line="320"/>
        <w:jc w:val="left"/>
      </w:pPr>
      <w:r>
        <w:rPr>
          <w:rFonts w:ascii="Arial" w:cs="Arial" w:eastAsia="Arial" w:hAnsi="Arial"/>
          <w:b w:val="false"/>
          <w:bCs w:val="false"/>
          <w:color w:val="4A5568"/>
          <w:sz w:val="20"/>
          <w:szCs w:val="20"/>
        </w:rPr>
        <w:t xml:space="preserve">律师 Agent 收到客户问题 → 调用 search_process 定位 PCF 流程节点 → 响应中 ProvenanceChain 列出推导路径 → 律师可在建议书中引用具体流程节点编号，满足专业文书溯源要求。</w:t>
      </w:r>
    </w:p>
    <w:p>
      <w:pPr>
        <w:spacing w:before="60" w:after="0"/>
      </w:pPr>
      <w:r>
        <w:t xml:space="preserve"/>
      </w:r>
    </w:p>
    <w:p>
      <w:pPr>
        <w:pStyle w:val="Heading3"/>
        <w:spacing w:before="200" w:after="100"/>
      </w:pPr>
      <w:r>
        <w:rPr>
          <w:rFonts w:ascii="Arial" w:cs="Arial" w:eastAsia="Arial" w:hAnsi="Arial"/>
          <w:b/>
          <w:bCs/>
          <w:color w:val="1A3C5E"/>
          <w:sz w:val="24"/>
          <w:szCs w:val="24"/>
        </w:rPr>
        <w:t xml:space="preserve">场景 B：HR 岗位说明书生成</w:t>
      </w:r>
    </w:p>
    <w:p>
      <w:pPr>
        <w:spacing w:before="80" w:after="80" w:line="320"/>
        <w:jc w:val="left"/>
      </w:pPr>
      <w:r>
        <w:rPr>
          <w:rFonts w:ascii="Arial" w:cs="Arial" w:eastAsia="Arial" w:hAnsi="Arial"/>
          <w:b w:val="false"/>
          <w:bCs w:val="false"/>
          <w:color w:val="4A5568"/>
          <w:sz w:val="20"/>
          <w:szCs w:val="20"/>
        </w:rPr>
        <w:t xml:space="preserve">HR 输入岗位名称 → map_role_to_processes 返回相关流程（含置信度）→ get_responsibilities 生成职责描述（附 ProvenanceChain）→ export_responsibility_doc 输出含溯源附录的完整说明书。</w:t>
      </w:r>
    </w:p>
    <w:p>
      <w:pPr>
        <w:spacing w:before="60" w:after="0"/>
      </w:pPr>
      <w:r>
        <w:t xml:space="preserve"/>
      </w:r>
    </w:p>
    <w:p>
      <w:pPr>
        <w:pStyle w:val="Heading3"/>
        <w:spacing w:before="200" w:after="100"/>
      </w:pPr>
      <w:r>
        <w:rPr>
          <w:rFonts w:ascii="Arial" w:cs="Arial" w:eastAsia="Arial" w:hAnsi="Arial"/>
          <w:b/>
          <w:bCs/>
          <w:color w:val="1A3C5E"/>
          <w:sz w:val="24"/>
          <w:szCs w:val="24"/>
        </w:rPr>
        <w:t xml:space="preserve">场景 C：超范围查询的优雅降级</w:t>
      </w:r>
    </w:p>
    <w:p>
      <w:pPr>
        <w:spacing w:before="80" w:after="80" w:line="320"/>
        <w:jc w:val="left"/>
      </w:pPr>
      <w:r>
        <w:rPr>
          <w:rFonts w:ascii="Arial" w:cs="Arial" w:eastAsia="Arial" w:hAnsi="Arial"/>
          <w:b w:val="false"/>
          <w:bCs w:val="false"/>
          <w:color w:val="4A5568"/>
          <w:sz w:val="20"/>
          <w:szCs w:val="20"/>
        </w:rPr>
        <w:t xml:space="preserve">用户查询一个 O'Process 尚未收录的细分流程 → search_process 检测向量距离超阈值 → 返回 BoundaryResponse，说明最近相关节点并建议补充方向，而非返回低质量结果或报错。</w:t>
      </w:r>
    </w:p>
    <w:p>
      <w:pPr>
        <w:spacing w:before="200" w:after="0"/>
      </w:pPr>
      <w:r>
        <w:t xml:space="preserve"/>
      </w:r>
    </w:p>
    <w:p>
      <w:pPr>
        <w:pStyle w:val="Heading1"/>
        <w:spacing w:before="400" w:after="180"/>
      </w:pPr>
      <w:r>
        <w:rPr>
          <w:rFonts w:ascii="Arial" w:cs="Arial" w:eastAsia="Arial" w:hAnsi="Arial"/>
          <w:b/>
          <w:bCs/>
          <w:color w:val="1A3C5E"/>
          <w:sz w:val="38"/>
          <w:szCs w:val="38"/>
        </w:rPr>
        <w:t xml:space="preserve">3. 产品范围</w:t>
      </w:r>
    </w:p>
    <w:p>
      <w:pPr>
        <w:pStyle w:val="Heading2"/>
        <w:pBdr>
          <w:bottom w:val="single" w:color="0F7B6C" w:sz="4" w:space="4"/>
        </w:pBdr>
        <w:spacing w:before="280" w:after="140"/>
      </w:pPr>
      <w:r>
        <w:rPr>
          <w:rFonts w:ascii="Arial" w:cs="Arial" w:eastAsia="Arial" w:hAnsi="Arial"/>
          <w:b/>
          <w:bCs/>
          <w:color w:val="0F7B6C"/>
          <w:sz w:val="28"/>
          <w:szCs w:val="28"/>
        </w:rPr>
        <w:t xml:space="preserve">3.1 MVP 范围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Tim O 原创流程分类体系（中文主版本，≥500 条初稿，滚动扩充）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英文版本同步上线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7 个 MCP Tool（含 ProvenanceChain 输出）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Governance-Lite 三个能力：ProvenanceChain · SessionAuditLog · BoundaryResponse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ToolGatewayInterface 抽象层（预留 HPG 接入点）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本地 stdio 模式，pip/uvx 安装</w:t>
      </w:r>
    </w:p>
    <w:p>
      <w:pPr>
        <w:spacing w:before="80" w:after="0"/>
      </w:pPr>
      <w:r>
        <w:t xml:space="preserve"/>
      </w:r>
    </w:p>
    <w:p>
      <w:pPr>
        <w:pStyle w:val="Heading2"/>
        <w:pBdr>
          <w:bottom w:val="single" w:color="0F7B6C" w:sz="4" w:space="4"/>
        </w:pBdr>
        <w:spacing w:before="280" w:after="140"/>
      </w:pPr>
      <w:r>
        <w:rPr>
          <w:rFonts w:ascii="Arial" w:cs="Arial" w:eastAsia="Arial" w:hAnsi="Arial"/>
          <w:b/>
          <w:bCs/>
          <w:color w:val="0F7B6C"/>
          <w:sz w:val="28"/>
          <w:szCs w:val="28"/>
        </w:rPr>
        <w:t xml:space="preserve">3.2 明确不在 MVP 范围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HPG Server 完整功能（熔断、补偿事务、FSM、语义熵采样、链下存储）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行业专属版本 —— Phase 2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远程 HTTP/SSE 模式 —— Phase 2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加密防篡改审计日志 —— 合规需求明确后引入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Web 管理界面 —— 无计划</w:t>
      </w:r>
    </w:p>
    <w:p>
      <w:pPr>
        <w:spacing w:before="200" w:after="0"/>
      </w:pPr>
      <w:r>
        <w:t xml:space="preserve"/>
      </w:r>
    </w:p>
    <w:p>
      <w:pPr>
        <w:pStyle w:val="Heading1"/>
        <w:spacing w:before="400" w:after="180"/>
      </w:pPr>
      <w:r>
        <w:rPr>
          <w:rFonts w:ascii="Arial" w:cs="Arial" w:eastAsia="Arial" w:hAnsi="Arial"/>
          <w:b/>
          <w:bCs/>
          <w:color w:val="1A3C5E"/>
          <w:sz w:val="38"/>
          <w:szCs w:val="38"/>
        </w:rPr>
        <w:t xml:space="preserve">4. 功能规格：MCP Tools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"/>
        <w:gridCol w:w="9180"/>
      </w:tblGrid>
      <w:tr>
        <w:tc>
          <w:tcPr>
            <w:tcW w:type="dxa" w:w="180"/>
            <w:tcBorders>
              <w:top w:val="single" w:color="856404" w:sz="1"/>
              <w:left w:val="single" w:color="856404" w:sz="1"/>
              <w:bottom w:val="single" w:color="856404" w:sz="1"/>
              <w:right w:val="none" w:color="FFFFFF" w:sz="0"/>
            </w:tcBorders>
            <w:shd w:fill="FFF3CD" w:val="clear"/>
            <w:tcMar>
              <w:top w:type="dxa" w:w="100"/>
              <w:left w:type="dxa" w:w="140"/>
              <w:bottom w:type="dxa" w:w="100"/>
              <w:right w:type="dxa" w:w="0"/>
            </w:tcMar>
          </w:tcPr>
          <w:p>
            <w:r>
              <w:rPr>
                <w:rFonts w:ascii="Arial" w:cs="Arial" w:eastAsia="Arial" w:hAnsi="Arial"/>
                <w:b/>
                <w:bCs/>
                <w:color w:val="856404"/>
                <w:sz w:val="20"/>
                <w:szCs w:val="20"/>
              </w:rPr>
              <w:t xml:space="preserve">⚠  </w:t>
            </w:r>
          </w:p>
        </w:tc>
        <w:tc>
          <w:tcPr>
            <w:tcW w:type="dxa" w:w="9180"/>
            <w:tcBorders>
              <w:top w:val="single" w:color="856404" w:sz="1"/>
              <w:left w:val="none" w:color="FFFFFF" w:sz="0"/>
              <w:bottom w:val="single" w:color="856404" w:sz="1"/>
              <w:right w:val="single" w:color="856404" w:sz="1"/>
            </w:tcBorders>
            <w:shd w:fill="FFF3CD" w:val="clear"/>
            <w:tcMar>
              <w:top w:type="dxa" w:w="100"/>
              <w:left w:type="dxa" w:w="100"/>
              <w:bottom w:type="dxa" w:w="100"/>
              <w:right w:type="dxa" w:w="14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color w:val="1A3C5E"/>
                <w:sz w:val="20"/>
                <w:szCs w:val="20"/>
              </w:rPr>
              <w:t xml:space="preserve">Tool 签名为 Claude Code 的直接 spec。所有 Tool 响应统一封装为 ToolResponse 结构，含 result · provenance_chain · session_id · response_ms 四个顶层字段。</w:t>
            </w:r>
          </w:p>
        </w:tc>
      </w:tr>
    </w:tbl>
    <w:p>
      <w:pPr>
        <w:spacing w:before="100" w:after="0"/>
      </w:pPr>
      <w:r>
        <w:t xml:space="preserve"/>
      </w:r>
    </w:p>
    <w:p>
      <w:pPr>
        <w:pStyle w:val="Heading2"/>
        <w:pBdr>
          <w:bottom w:val="single" w:color="0F7B6C" w:sz="4" w:space="4"/>
        </w:pBdr>
        <w:spacing w:before="280" w:after="140"/>
      </w:pPr>
      <w:r>
        <w:rPr>
          <w:rFonts w:ascii="Arial" w:cs="Arial" w:eastAsia="Arial" w:hAnsi="Arial"/>
          <w:b/>
          <w:bCs/>
          <w:color w:val="0F7B6C"/>
          <w:sz w:val="28"/>
          <w:szCs w:val="28"/>
        </w:rPr>
        <w:t xml:space="preserve">4.1 Tool 列表与签名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2000"/>
        <w:gridCol w:w="3260"/>
        <w:gridCol w:w="1600"/>
      </w:tblGrid>
      <w:tr>
        <w:tc>
          <w:tcPr>
            <w:tcW w:type="dxa" w:w="25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Tool 名称</w:t>
            </w:r>
          </w:p>
        </w:tc>
        <w:tc>
          <w:tcPr>
            <w:tcW w:type="dxa" w:w="20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输入参数</w:t>
            </w:r>
          </w:p>
        </w:tc>
        <w:tc>
          <w:tcPr>
            <w:tcW w:type="dxa" w:w="326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功能描述</w:t>
            </w:r>
          </w:p>
        </w:tc>
        <w:tc>
          <w:tcPr>
            <w:tcW w:type="dxa" w:w="16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溯源输出</w:t>
            </w:r>
          </w:p>
        </w:tc>
      </w:tr>
      <w:tr>
        <w:tc>
          <w:tcPr>
            <w:tcW w:type="dxa" w:w="2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3C5E"/>
                <w:sz w:val="20"/>
                <w:szCs w:val="20"/>
              </w:rPr>
              <w:t xml:space="preserve">search_process</w:t>
            </w:r>
          </w:p>
        </w:tc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keyword, level?, lang?</w:t>
            </w:r>
          </w:p>
        </w:tc>
        <w:tc>
          <w:tcPr>
            <w:tcW w:type="dxa" w:w="3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语义搜索流程条目，支持中英文，低置信度时返回 BoundaryResponse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B8860B"/>
                <w:sz w:val="20"/>
                <w:szCs w:val="20"/>
              </w:rPr>
              <w:t xml:space="preserve">匹配节点路径</w:t>
            </w:r>
          </w:p>
        </w:tc>
      </w:tr>
      <w:tr>
        <w:tc>
          <w:tcPr>
            <w:tcW w:type="dxa" w:w="2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3C5E"/>
                <w:sz w:val="20"/>
                <w:szCs w:val="20"/>
              </w:rPr>
              <w:t xml:space="preserve">get_process_tree</w:t>
            </w:r>
          </w:p>
        </w:tc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category_id, depth?</w:t>
            </w:r>
          </w:p>
        </w:tc>
        <w:tc>
          <w:tcPr>
            <w:tcW w:type="dxa" w:w="3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返回指定分类节点的完整子树（4级层级）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D0D7DE"/>
                <w:sz w:val="20"/>
                <w:szCs w:val="20"/>
              </w:rPr>
              <w:t xml:space="preserve">—</w:t>
            </w:r>
          </w:p>
        </w:tc>
      </w:tr>
      <w:tr>
        <w:tc>
          <w:tcPr>
            <w:tcW w:type="dxa" w:w="2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3C5E"/>
                <w:sz w:val="20"/>
                <w:szCs w:val="20"/>
              </w:rPr>
              <w:t xml:space="preserve">get_responsibilities</w:t>
            </w:r>
          </w:p>
        </w:tc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process_id, format?</w:t>
            </w:r>
          </w:p>
        </w:tc>
        <w:tc>
          <w:tcPr>
            <w:tcW w:type="dxa" w:w="3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生成标准化岗位职责描述，附带推导来源节点链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B8860B"/>
                <w:sz w:val="20"/>
                <w:szCs w:val="20"/>
              </w:rPr>
              <w:t xml:space="preserve">推导节点集</w:t>
            </w:r>
          </w:p>
        </w:tc>
      </w:tr>
      <w:tr>
        <w:tc>
          <w:tcPr>
            <w:tcW w:type="dxa" w:w="2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3C5E"/>
                <w:sz w:val="20"/>
                <w:szCs w:val="20"/>
              </w:rPr>
              <w:t xml:space="preserve">map_role_to_processes</w:t>
            </w:r>
          </w:p>
        </w:tc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role_name, industry?</w:t>
            </w:r>
          </w:p>
        </w:tc>
        <w:tc>
          <w:tcPr>
            <w:tcW w:type="dxa" w:w="3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岗位名称→相关流程列表（含置信度），低于阈值触发边界检测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B8860B"/>
                <w:sz w:val="20"/>
                <w:szCs w:val="20"/>
              </w:rPr>
              <w:t xml:space="preserve">置信度链</w:t>
            </w:r>
          </w:p>
        </w:tc>
      </w:tr>
      <w:tr>
        <w:tc>
          <w:tcPr>
            <w:tcW w:type="dxa" w:w="2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3C5E"/>
                <w:sz w:val="20"/>
                <w:szCs w:val="20"/>
              </w:rPr>
              <w:t xml:space="preserve">get_kpi_suggestions</w:t>
            </w:r>
          </w:p>
        </w:tc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process_id</w:t>
            </w:r>
          </w:p>
        </w:tc>
        <w:tc>
          <w:tcPr>
            <w:tcW w:type="dxa" w:w="3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返回流程节点对应 KPI 指标建议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B8860B"/>
                <w:sz w:val="20"/>
                <w:szCs w:val="20"/>
              </w:rPr>
              <w:t xml:space="preserve">节点来源</w:t>
            </w:r>
          </w:p>
        </w:tc>
      </w:tr>
      <w:tr>
        <w:tc>
          <w:tcPr>
            <w:tcW w:type="dxa" w:w="2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3C5E"/>
                <w:sz w:val="20"/>
                <w:szCs w:val="20"/>
              </w:rPr>
              <w:t xml:space="preserve">compare_processes</w:t>
            </w:r>
          </w:p>
        </w:tc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process_ids[]</w:t>
            </w:r>
          </w:p>
        </w:tc>
        <w:tc>
          <w:tcPr>
            <w:tcW w:type="dxa" w:w="3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对比多个流程节点的层级、职责范围与 KPI 差异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D0D7DE"/>
                <w:sz w:val="20"/>
                <w:szCs w:val="20"/>
              </w:rPr>
              <w:t xml:space="preserve">—</w:t>
            </w:r>
          </w:p>
        </w:tc>
      </w:tr>
      <w:tr>
        <w:tc>
          <w:tcPr>
            <w:tcW w:type="dxa" w:w="2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3C5E"/>
                <w:sz w:val="20"/>
                <w:szCs w:val="20"/>
              </w:rPr>
              <w:t xml:space="preserve">export_responsibility_doc</w:t>
            </w:r>
          </w:p>
        </w:tc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role_name, process_ids[]</w:t>
            </w:r>
          </w:p>
        </w:tc>
        <w:tc>
          <w:tcPr>
            <w:tcW w:type="dxa" w:w="3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生成完整岗位说明书草稿（Markdown），含溯源附录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B8860B"/>
                <w:sz w:val="20"/>
                <w:szCs w:val="20"/>
              </w:rPr>
              <w:t xml:space="preserve">完整溯源图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2"/>
        <w:pBdr>
          <w:bottom w:val="single" w:color="0F7B6C" w:sz="4" w:space="4"/>
        </w:pBdr>
        <w:spacing w:before="280" w:after="140"/>
      </w:pPr>
      <w:r>
        <w:rPr>
          <w:rFonts w:ascii="Arial" w:cs="Arial" w:eastAsia="Arial" w:hAnsi="Arial"/>
          <w:b/>
          <w:bCs/>
          <w:color w:val="0F7B6C"/>
          <w:sz w:val="28"/>
          <w:szCs w:val="28"/>
        </w:rPr>
        <w:t xml:space="preserve">4.2 MCP Resources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160"/>
      </w:tblGrid>
      <w:tr>
        <w:tc>
          <w:tcPr>
            <w:tcW w:type="dxa" w:w="32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Resource URI</w:t>
            </w:r>
          </w:p>
        </w:tc>
        <w:tc>
          <w:tcPr>
            <w:tcW w:type="dxa" w:w="616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内容说明</w:t>
            </w:r>
          </w:p>
        </w:tc>
      </w:tr>
      <w:tr>
        <w:tc>
          <w:tcPr>
            <w:tcW w:type="dxa" w:w="3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oprocess://process/{id}</w:t>
            </w:r>
          </w:p>
        </w:tc>
        <w:tc>
          <w:tcPr>
            <w:tcW w:type="dxa" w:w="61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单个流程节点完整信息（含父路径、子节点、KPI、ProvenanceChain 结构说明）</w:t>
            </w:r>
          </w:p>
        </w:tc>
      </w:tr>
      <w:tr>
        <w:tc>
          <w:tcPr>
            <w:tcW w:type="dxa" w:w="3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oprocess://category/list</w:t>
            </w:r>
          </w:p>
        </w:tc>
        <w:tc>
          <w:tcPr>
            <w:tcW w:type="dxa" w:w="61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全部顶层分类列表（含多语言名称）</w:t>
            </w:r>
          </w:p>
        </w:tc>
      </w:tr>
      <w:tr>
        <w:tc>
          <w:tcPr>
            <w:tcW w:type="dxa" w:w="3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oprocess://role/{role_name}</w:t>
            </w:r>
          </w:p>
        </w:tc>
        <w:tc>
          <w:tcPr>
            <w:tcW w:type="dxa" w:w="61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角色对应流程映射结果（缓存）</w:t>
            </w:r>
          </w:p>
        </w:tc>
      </w:tr>
      <w:tr>
        <w:tc>
          <w:tcPr>
            <w:tcW w:type="dxa" w:w="3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oprocess://audit/session/{session_id}</w:t>
            </w:r>
          </w:p>
        </w:tc>
        <w:tc>
          <w:tcPr>
            <w:tcW w:type="dxa" w:w="61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指定 session 的审计日志摘要（工具调用序列）</w:t>
            </w:r>
          </w:p>
        </w:tc>
      </w:tr>
      <w:tr>
        <w:tc>
          <w:tcPr>
            <w:tcW w:type="dxa" w:w="3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oprocess://schema/sqlite</w:t>
            </w:r>
          </w:p>
        </w:tc>
        <w:tc>
          <w:tcPr>
            <w:tcW w:type="dxa" w:w="61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当前数据库 Schema 定义（供 Agent 自探索）</w:t>
            </w:r>
          </w:p>
        </w:tc>
      </w:tr>
    </w:tbl>
    <w:p>
      <w:pPr>
        <w:spacing w:before="200" w:after="0"/>
      </w:pPr>
      <w:r>
        <w:t xml:space="preserve"/>
      </w:r>
    </w:p>
    <w:p>
      <w:pPr>
        <w:pStyle w:val="Heading1"/>
        <w:spacing w:before="400" w:after="180"/>
      </w:pPr>
      <w:r>
        <w:rPr>
          <w:rFonts w:ascii="Arial" w:cs="Arial" w:eastAsia="Arial" w:hAnsi="Arial"/>
          <w:b/>
          <w:bCs/>
          <w:color w:val="1A3C5E"/>
          <w:sz w:val="38"/>
          <w:szCs w:val="38"/>
        </w:rPr>
        <w:t xml:space="preserve">5. Governance-Lite 层规格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"/>
        <w:gridCol w:w="9180"/>
      </w:tblGrid>
      <w:tr>
        <w:tc>
          <w:tcPr>
            <w:tcW w:type="dxa" w:w="180"/>
            <w:tcBorders>
              <w:top w:val="single" w:color="B8860B" w:sz="1"/>
              <w:left w:val="single" w:color="B8860B" w:sz="1"/>
              <w:bottom w:val="single" w:color="B8860B" w:sz="1"/>
              <w:right w:val="none" w:color="FFFFFF" w:sz="0"/>
            </w:tcBorders>
            <w:shd w:fill="FFF8E1" w:val="clear"/>
            <w:tcMar>
              <w:top w:type="dxa" w:w="100"/>
              <w:left w:type="dxa" w:w="140"/>
              <w:bottom w:type="dxa" w:w="100"/>
              <w:right w:type="dxa" w:w="0"/>
            </w:tcMar>
          </w:tcPr>
          <w:p>
            <w:r>
              <w:rPr>
                <w:rFonts w:ascii="Arial" w:cs="Arial" w:eastAsia="Arial" w:hAnsi="Arial"/>
                <w:b/>
                <w:bCs/>
                <w:color w:val="B8860B"/>
                <w:sz w:val="20"/>
                <w:szCs w:val="20"/>
              </w:rPr>
              <w:t xml:space="preserve">★  </w:t>
            </w:r>
          </w:p>
        </w:tc>
        <w:tc>
          <w:tcPr>
            <w:tcW w:type="dxa" w:w="9180"/>
            <w:tcBorders>
              <w:top w:val="single" w:color="B8860B" w:sz="1"/>
              <w:left w:val="none" w:color="FFFFFF" w:sz="0"/>
              <w:bottom w:val="single" w:color="B8860B" w:sz="1"/>
              <w:right w:val="single" w:color="B8860B" w:sz="1"/>
            </w:tcBorders>
            <w:shd w:fill="FFF8E1" w:val="clear"/>
            <w:tcMar>
              <w:top w:type="dxa" w:w="100"/>
              <w:left w:type="dxa" w:w="100"/>
              <w:bottom w:type="dxa" w:w="100"/>
              <w:right w:type="dxa" w:w="14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color w:val="1A3C5E"/>
                <w:sz w:val="20"/>
                <w:szCs w:val="20"/>
              </w:rPr>
              <w:t xml:space="preserve">以下三个能力是 v2.0 新增内容，来自 HPG Server 设计的选择性融合。每个能力独立实现，互不依赖。</w:t>
            </w:r>
          </w:p>
        </w:tc>
      </w:tr>
    </w:tbl>
    <w:p>
      <w:pPr>
        <w:spacing w:before="100" w:after="0"/>
      </w:pPr>
      <w:r>
        <w:t xml:space="preserve"/>
      </w:r>
    </w:p>
    <w:p>
      <w:pPr>
        <w:pStyle w:val="Heading2"/>
        <w:pBdr>
          <w:bottom w:val="single" w:color="0F7B6C" w:sz="4" w:space="4"/>
        </w:pBdr>
        <w:spacing w:before="280" w:after="140"/>
      </w:pPr>
      <w:r>
        <w:rPr>
          <w:rFonts w:ascii="Arial" w:cs="Arial" w:eastAsia="Arial" w:hAnsi="Arial"/>
          <w:b/>
          <w:bCs/>
          <w:color w:val="0F7B6C"/>
          <w:sz w:val="28"/>
          <w:szCs w:val="28"/>
        </w:rPr>
        <w:t xml:space="preserve">5.1 三能力概览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600"/>
        <w:gridCol w:w="3360"/>
        <w:gridCol w:w="2600"/>
      </w:tblGrid>
      <w:tr>
        <w:tc>
          <w:tcPr>
            <w:tcW w:type="dxa" w:w="1800"/>
            <w:tcBorders>
              <w:top w:val="single" w:color="B8860B" w:sz="1"/>
              <w:left w:val="single" w:color="B8860B" w:sz="1"/>
              <w:bottom w:val="single" w:color="B8860B" w:sz="1"/>
              <w:right w:val="single" w:color="B8860B" w:sz="1"/>
            </w:tcBorders>
            <w:shd w:fill="B8860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能力</w:t>
            </w:r>
          </w:p>
        </w:tc>
        <w:tc>
          <w:tcPr>
            <w:tcW w:type="dxa" w:w="1600"/>
            <w:tcBorders>
              <w:top w:val="single" w:color="B8860B" w:sz="1"/>
              <w:left w:val="single" w:color="B8860B" w:sz="1"/>
              <w:bottom w:val="single" w:color="B8860B" w:sz="1"/>
              <w:right w:val="single" w:color="B8860B" w:sz="1"/>
            </w:tcBorders>
            <w:shd w:fill="B8860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来源</w:t>
            </w:r>
          </w:p>
        </w:tc>
        <w:tc>
          <w:tcPr>
            <w:tcW w:type="dxa" w:w="3360"/>
            <w:tcBorders>
              <w:top w:val="single" w:color="B8860B" w:sz="1"/>
              <w:left w:val="single" w:color="B8860B" w:sz="1"/>
              <w:bottom w:val="single" w:color="B8860B" w:sz="1"/>
              <w:right w:val="single" w:color="B8860B" w:sz="1"/>
            </w:tcBorders>
            <w:shd w:fill="B8860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实现描述</w:t>
            </w:r>
          </w:p>
        </w:tc>
        <w:tc>
          <w:tcPr>
            <w:tcW w:type="dxa" w:w="2600"/>
            <w:tcBorders>
              <w:top w:val="single" w:color="B8860B" w:sz="1"/>
              <w:left w:val="single" w:color="B8860B" w:sz="1"/>
              <w:bottom w:val="single" w:color="B8860B" w:sz="1"/>
              <w:right w:val="single" w:color="B8860B" w:sz="1"/>
            </w:tcBorders>
            <w:shd w:fill="B8860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触发条件</w:t>
            </w:r>
          </w:p>
        </w:tc>
      </w:tr>
      <w:tr>
        <w:tc>
          <w:tcPr>
            <w:tcW w:type="dxa" w:w="1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B8860B"/>
                <w:sz w:val="20"/>
                <w:szCs w:val="20"/>
              </w:rPr>
              <w:t xml:space="preserve">ProvenanceChain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HPG C 流程简化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每个 Tool 响应附加 provenance_chain 数组，列出推导所用的 process_id 路径与置信度权重。export_responsibility_doc 额外生成完整溯源附录</w:t>
            </w:r>
          </w:p>
        </w:tc>
        <w:tc>
          <w:tcPr>
            <w:tcW w:type="dxa" w:w="2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所有返回实质内容的 Tool 调用均触发</w:t>
            </w:r>
          </w:p>
        </w:tc>
      </w:tr>
      <w:tr>
        <w:tc>
          <w:tcPr>
            <w:tcW w:type="dxa" w:w="1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B8860B"/>
                <w:sz w:val="20"/>
                <w:szCs w:val="20"/>
              </w:rPr>
              <w:t xml:space="preserve">SessionAuditLog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HPG A 流程轻量化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追加写入型日志，记录 session_id · tool_name · input_hash · output_node_ids · timestamp · lang。日志接口预留 HPG 接入扩展字段</w:t>
            </w:r>
          </w:p>
        </w:tc>
        <w:tc>
          <w:tcPr>
            <w:tcW w:type="dxa" w:w="2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所有 Tool 调用自动写入，用户不感知</w:t>
            </w:r>
          </w:p>
        </w:tc>
      </w:tr>
      <w:tr>
        <w:tc>
          <w:tcPr>
            <w:tcW w:type="dxa" w:w="1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B8860B"/>
                <w:sz w:val="20"/>
                <w:szCs w:val="20"/>
              </w:rPr>
              <w:t xml:space="preserve">BoundaryResponse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HPG B 流程极简化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语义搜索向量距离超过阈值（默认 0.45）时，不返回低质量结果，而是返回结构化 BoundaryResponse：boundary_reason · nearest_valid_nodes · suggestion</w:t>
            </w:r>
          </w:p>
        </w:tc>
        <w:tc>
          <w:tcPr>
            <w:tcW w:type="dxa" w:w="2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search_process 及 map_role_to_processes 置信度低于阈值时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2"/>
        <w:pBdr>
          <w:bottom w:val="single" w:color="0F7B6C" w:sz="4" w:space="4"/>
        </w:pBdr>
        <w:spacing w:before="280" w:after="140"/>
      </w:pPr>
      <w:r>
        <w:rPr>
          <w:rFonts w:ascii="Arial" w:cs="Arial" w:eastAsia="Arial" w:hAnsi="Arial"/>
          <w:b/>
          <w:bCs/>
          <w:color w:val="0F7B6C"/>
          <w:sz w:val="28"/>
          <w:szCs w:val="28"/>
        </w:rPr>
        <w:t xml:space="preserve">5.2 ProvenanceChain 详细规格</w:t>
      </w:r>
    </w:p>
    <w:p>
      <w:pPr>
        <w:pStyle w:val="Heading4"/>
        <w:spacing w:before="160" w:after="80"/>
      </w:pPr>
      <w:r>
        <w:rPr>
          <w:rFonts w:ascii="Arial" w:cs="Arial" w:eastAsia="Arial" w:hAnsi="Arial"/>
          <w:b/>
          <w:bCs/>
          <w:color w:val="B8860B"/>
          <w:sz w:val="22"/>
          <w:szCs w:val="22"/>
        </w:rPr>
        <w:t xml:space="preserve">数据结构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E2A3A" w:val="clear"/>
            <w:tcMar>
              <w:top w:type="dxa" w:w="140"/>
              <w:left w:type="dxa" w:w="220"/>
              <w:bottom w:type="dxa" w:w="140"/>
              <w:right w:type="dxa" w:w="220"/>
            </w:tcMar>
          </w:tcPr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# ProvenanceChain —— 附加在每个实质性 Tool 响应中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provenance_chain: list[ProvenanceNode]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/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class ProvenanceNode: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node_id:          str    # 流程节点 ID，如 '4.1.2'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name:             str    # 节点名称（按 lang 参数）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confidence:       float  # 0.0-1.0，向量相似度或规则匹配度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path:             str    # 完整层级路径，如 '4.0 &gt; 4.1 &gt; 4.1.2'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derivation_rule:  str    # 推导规则描述，如 'semantic_match' / 'rule_based'</w:t>
            </w:r>
          </w:p>
        </w:tc>
      </w:tr>
    </w:tbl>
    <w:p>
      <w:pPr>
        <w:spacing w:before="80" w:after="0"/>
      </w:pPr>
      <w:r>
        <w:t xml:space="preserve"/>
      </w:r>
    </w:p>
    <w:p>
      <w:pPr>
        <w:pStyle w:val="Heading4"/>
        <w:spacing w:before="160" w:after="80"/>
      </w:pPr>
      <w:r>
        <w:rPr>
          <w:rFonts w:ascii="Arial" w:cs="Arial" w:eastAsia="Arial" w:hAnsi="Arial"/>
          <w:b/>
          <w:bCs/>
          <w:color w:val="B8860B"/>
          <w:sz w:val="22"/>
          <w:szCs w:val="22"/>
        </w:rPr>
        <w:t xml:space="preserve">实现要求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get_responsibilities：provenance_chain 列出所有参与推导的流程节点，confidence 为各节点对最终职责描述的贡献权重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map_role_to_processes：provenance_chain 列出搜索命中路径，confidence 直接取向量余弦相似度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export_responsibility_doc：在 Markdown 文档末尾生成「溯源附录」章节，人类可读格式呈现 ProvenanceChain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search_process / get_kpi_suggestions：包含 provenance_chain，条目为命中节点本身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get_process_tree / compare_processes：provenance_chain 为空数组（结构性查询，无推导过程）</w:t>
      </w:r>
    </w:p>
    <w:p>
      <w:pPr>
        <w:spacing w:before="120" w:after="0"/>
      </w:pPr>
      <w:r>
        <w:t xml:space="preserve"/>
      </w:r>
    </w:p>
    <w:p>
      <w:pPr>
        <w:pStyle w:val="Heading2"/>
        <w:pBdr>
          <w:bottom w:val="single" w:color="0F7B6C" w:sz="4" w:space="4"/>
        </w:pBdr>
        <w:spacing w:before="280" w:after="140"/>
      </w:pPr>
      <w:r>
        <w:rPr>
          <w:rFonts w:ascii="Arial" w:cs="Arial" w:eastAsia="Arial" w:hAnsi="Arial"/>
          <w:b/>
          <w:bCs/>
          <w:color w:val="0F7B6C"/>
          <w:sz w:val="28"/>
          <w:szCs w:val="28"/>
        </w:rPr>
        <w:t xml:space="preserve">5.3 SessionAuditLog 详细规格</w:t>
      </w:r>
    </w:p>
    <w:p>
      <w:pPr>
        <w:pStyle w:val="Heading4"/>
        <w:spacing w:before="160" w:after="80"/>
      </w:pPr>
      <w:r>
        <w:rPr>
          <w:rFonts w:ascii="Arial" w:cs="Arial" w:eastAsia="Arial" w:hAnsi="Arial"/>
          <w:b/>
          <w:bCs/>
          <w:color w:val="B8860B"/>
          <w:sz w:val="22"/>
          <w:szCs w:val="22"/>
        </w:rPr>
        <w:t xml:space="preserve">数据结构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E2A3A" w:val="clear"/>
            <w:tcMar>
              <w:top w:type="dxa" w:w="140"/>
              <w:left w:type="dxa" w:w="220"/>
              <w:bottom w:type="dxa" w:w="140"/>
              <w:right w:type="dxa" w:w="220"/>
            </w:tcMar>
          </w:tcPr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# SQLite 表：session_audit_log（INSERT ONLY，触发器禁止 UPDATE/DELETE）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CREATE TABLE session_audit_log (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id               INTEGER PRIMARY KEY AUTOINCREMENT,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session_id       TEXT    NOT NULL,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tool_name        TEXT    NOT NULL,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input_hash       TEXT    NOT NULL,   -- SHA256(JSON(inputs))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output_node_ids  TEXT,               -- JSON array of returned node IDs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lang             TEXT,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response_ms      INTEGER,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timestamp        TEXT    NOT NULL,   -- ISO 8601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governance_ext   TEXT                -- JSON，预留 HPG 扩展字段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);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/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-- 防写触发器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CREATE TRIGGER no_update_audit BEFORE UPDATE ON session_audit_log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BEGIN SELECT RAISE(ABORT, 'audit log is append-only'); END;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/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CREATE TRIGGER no_delete_audit BEFORE DELETE ON session_audit_log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BEGIN SELECT RAISE(ABORT, 'audit log is append-only'); END;</w:t>
            </w:r>
          </w:p>
        </w:tc>
      </w:tr>
    </w:tbl>
    <w:p>
      <w:pPr>
        <w:spacing w:before="80" w:after="0"/>
      </w:pPr>
      <w:r>
        <w:t xml:space="preserve"/>
      </w:r>
    </w:p>
    <w:p>
      <w:pPr>
        <w:pStyle w:val="Heading4"/>
        <w:spacing w:before="160" w:after="80"/>
      </w:pPr>
      <w:r>
        <w:rPr>
          <w:rFonts w:ascii="Arial" w:cs="Arial" w:eastAsia="Arial" w:hAnsi="Arial"/>
          <w:b/>
          <w:bCs/>
          <w:color w:val="B8860B"/>
          <w:sz w:val="22"/>
          <w:szCs w:val="22"/>
        </w:rPr>
        <w:t xml:space="preserve">实现要求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所有 Tool 调用在返回响应前完成日志写入，写入失败不影响主流程（try/except 静默处理）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input_hash 对输入参数 JSON 序列化后取 SHA256 前 16 位（不存储原始输入，保护隐私）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governance_ext 字段当前写入 {}，HPG 接入后由网关层填充 case_id · agent_id 等治理字段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session_id 若调用方未传入，由 O'Process 自动生成 UUID v4 并在响应中返回</w:t>
      </w:r>
    </w:p>
    <w:p>
      <w:pPr>
        <w:spacing w:before="120" w:after="0"/>
      </w:pPr>
      <w:r>
        <w:t xml:space="preserve"/>
      </w:r>
    </w:p>
    <w:p>
      <w:pPr>
        <w:pStyle w:val="Heading2"/>
        <w:pBdr>
          <w:bottom w:val="single" w:color="0F7B6C" w:sz="4" w:space="4"/>
        </w:pBdr>
        <w:spacing w:before="280" w:after="140"/>
      </w:pPr>
      <w:r>
        <w:rPr>
          <w:rFonts w:ascii="Arial" w:cs="Arial" w:eastAsia="Arial" w:hAnsi="Arial"/>
          <w:b/>
          <w:bCs/>
          <w:color w:val="0F7B6C"/>
          <w:sz w:val="28"/>
          <w:szCs w:val="28"/>
        </w:rPr>
        <w:t xml:space="preserve">5.4 BoundaryResponse 详细规格</w:t>
      </w:r>
    </w:p>
    <w:p>
      <w:pPr>
        <w:pStyle w:val="Heading4"/>
        <w:spacing w:before="160" w:after="80"/>
      </w:pPr>
      <w:r>
        <w:rPr>
          <w:rFonts w:ascii="Arial" w:cs="Arial" w:eastAsia="Arial" w:hAnsi="Arial"/>
          <w:b/>
          <w:bCs/>
          <w:color w:val="B8860B"/>
          <w:sz w:val="22"/>
          <w:szCs w:val="22"/>
        </w:rPr>
        <w:t xml:space="preserve">触发条件</w:t>
      </w:r>
    </w:p>
    <w:p>
      <w:pPr>
        <w:spacing w:before="80" w:after="80" w:line="320"/>
        <w:jc w:val="left"/>
      </w:pPr>
      <w:r>
        <w:rPr>
          <w:rFonts w:ascii="Arial" w:cs="Arial" w:eastAsia="Arial" w:hAnsi="Arial"/>
          <w:b w:val="false"/>
          <w:bCs w:val="false"/>
          <w:color w:val="4A5568"/>
          <w:sz w:val="20"/>
          <w:szCs w:val="20"/>
        </w:rPr>
        <w:t xml:space="preserve">search_process 或 map_role_to_processes 的语义搜索中，最高相似度节点的向量余弦距离 &gt; 0.45（即 cosine similarity &lt; 0.55）时触发。</w:t>
      </w:r>
    </w:p>
    <w:p>
      <w:pPr>
        <w:spacing w:before="60" w:after="0"/>
      </w:pPr>
      <w:r>
        <w:t xml:space="preserve"/>
      </w:r>
    </w:p>
    <w:p>
      <w:pPr>
        <w:pStyle w:val="Heading4"/>
        <w:spacing w:before="160" w:after="80"/>
      </w:pPr>
      <w:r>
        <w:rPr>
          <w:rFonts w:ascii="Arial" w:cs="Arial" w:eastAsia="Arial" w:hAnsi="Arial"/>
          <w:b/>
          <w:bCs/>
          <w:color w:val="B8860B"/>
          <w:sz w:val="22"/>
          <w:szCs w:val="22"/>
        </w:rPr>
        <w:t xml:space="preserve">数据结构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E2A3A" w:val="clear"/>
            <w:tcMar>
              <w:top w:type="dxa" w:w="140"/>
              <w:left w:type="dxa" w:w="220"/>
              <w:bottom w:type="dxa" w:w="140"/>
              <w:right w:type="dxa" w:w="220"/>
            </w:tcMar>
          </w:tcPr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class BoundaryResponse: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is_boundary:              bool   = True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boundary_reason:          str    # 人类可读说明，如 '查询超出当前流程体系覆盖范围'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query_embedding_distance: float  # 最近节点的向量距离值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nearest_valid_nodes: list[dict]  # 最近的 3 个节点（id + name + distance）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suggestion:               str    # 引导建议，如 '请尝试更宽泛的搜索词' 或 '此领域待收录'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/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# ToolResponse 当触发边界检测时：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# result = None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# boundary = BoundaryResponse(...)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# provenance_chain = []</w:t>
            </w:r>
          </w:p>
        </w:tc>
      </w:tr>
    </w:tbl>
    <w:p>
      <w:pPr>
        <w:spacing w:before="80" w:after="0"/>
      </w:pPr>
      <w:r>
        <w:t xml:space="preserve"/>
      </w:r>
    </w:p>
    <w:p>
      <w:pPr>
        <w:pStyle w:val="Heading4"/>
        <w:spacing w:before="160" w:after="80"/>
      </w:pPr>
      <w:r>
        <w:rPr>
          <w:rFonts w:ascii="Arial" w:cs="Arial" w:eastAsia="Arial" w:hAnsi="Arial"/>
          <w:b/>
          <w:bCs/>
          <w:color w:val="B8860B"/>
          <w:sz w:val="22"/>
          <w:szCs w:val="22"/>
        </w:rPr>
        <w:t xml:space="preserve">阈值校准策略</w:t>
      </w:r>
    </w:p>
    <w:p>
      <w:pPr>
        <w:spacing w:before="80" w:after="80" w:line="320"/>
        <w:jc w:val="left"/>
      </w:pPr>
      <w:r>
        <w:rPr>
          <w:rFonts w:ascii="Arial" w:cs="Arial" w:eastAsia="Arial" w:hAnsi="Arial"/>
          <w:b w:val="false"/>
          <w:bCs w:val="false"/>
          <w:color w:val="4A5568"/>
          <w:sz w:val="20"/>
          <w:szCs w:val="20"/>
        </w:rPr>
        <w:t xml:space="preserve">初始阈值 0.45 基于 50 个标注测试集确定。SessionAuditLog 记录每次触发时的 query_embedding_distance，上线后每 100 次边界触发分析一次分布，必要时调整阈值。阈值作为配置参数写入 pyproject.toml，不硬编码。</w:t>
      </w:r>
    </w:p>
    <w:p>
      <w:pPr>
        <w:spacing w:before="200" w:after="0"/>
      </w:pPr>
      <w:r>
        <w:t xml:space="preserve"/>
      </w:r>
    </w:p>
    <w:p>
      <w:pPr>
        <w:pStyle w:val="Heading1"/>
        <w:spacing w:before="400" w:after="180"/>
      </w:pPr>
      <w:r>
        <w:rPr>
          <w:rFonts w:ascii="Arial" w:cs="Arial" w:eastAsia="Arial" w:hAnsi="Arial"/>
          <w:b/>
          <w:bCs/>
          <w:color w:val="1A3C5E"/>
          <w:sz w:val="38"/>
          <w:szCs w:val="38"/>
        </w:rPr>
        <w:t xml:space="preserve">6. 架构：HPG 接入预留设计</w:t>
      </w:r>
    </w:p>
    <w:p>
      <w:pPr>
        <w:pStyle w:val="Heading2"/>
        <w:pBdr>
          <w:bottom w:val="single" w:color="0F7B6C" w:sz="4" w:space="4"/>
        </w:pBdr>
        <w:spacing w:before="280" w:after="140"/>
      </w:pPr>
      <w:r>
        <w:rPr>
          <w:rFonts w:ascii="Arial" w:cs="Arial" w:eastAsia="Arial" w:hAnsi="Arial"/>
          <w:b/>
          <w:bCs/>
          <w:color w:val="0F7B6C"/>
          <w:sz w:val="28"/>
          <w:szCs w:val="28"/>
        </w:rPr>
        <w:t xml:space="preserve">6.1 ToolGatewayInterface 抽象层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"/>
        <w:gridCol w:w="9180"/>
      </w:tblGrid>
      <w:tr>
        <w:tc>
          <w:tcPr>
            <w:tcW w:type="dxa" w:w="180"/>
            <w:tcBorders>
              <w:top w:val="single" w:color="B8860B" w:sz="1"/>
              <w:left w:val="single" w:color="B8860B" w:sz="1"/>
              <w:bottom w:val="single" w:color="B8860B" w:sz="1"/>
              <w:right w:val="none" w:color="FFFFFF" w:sz="0"/>
            </w:tcBorders>
            <w:shd w:fill="FFF8E1" w:val="clear"/>
            <w:tcMar>
              <w:top w:type="dxa" w:w="100"/>
              <w:left w:type="dxa" w:w="140"/>
              <w:bottom w:type="dxa" w:w="100"/>
              <w:right w:type="dxa" w:w="0"/>
            </w:tcMar>
          </w:tcPr>
          <w:p>
            <w:r>
              <w:rPr>
                <w:rFonts w:ascii="Arial" w:cs="Arial" w:eastAsia="Arial" w:hAnsi="Arial"/>
                <w:b/>
                <w:bCs/>
                <w:color w:val="B8860B"/>
                <w:sz w:val="20"/>
                <w:szCs w:val="20"/>
              </w:rPr>
              <w:t xml:space="preserve">★  </w:t>
            </w:r>
          </w:p>
        </w:tc>
        <w:tc>
          <w:tcPr>
            <w:tcW w:type="dxa" w:w="9180"/>
            <w:tcBorders>
              <w:top w:val="single" w:color="B8860B" w:sz="1"/>
              <w:left w:val="none" w:color="FFFFFF" w:sz="0"/>
              <w:bottom w:val="single" w:color="B8860B" w:sz="1"/>
              <w:right w:val="single" w:color="B8860B" w:sz="1"/>
            </w:tcBorders>
            <w:shd w:fill="FFF8E1" w:val="clear"/>
            <w:tcMar>
              <w:top w:type="dxa" w:w="100"/>
              <w:left w:type="dxa" w:w="100"/>
              <w:bottom w:type="dxa" w:w="100"/>
              <w:right w:type="dxa" w:w="14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color w:val="1A3C5E"/>
                <w:sz w:val="20"/>
                <w:szCs w:val="20"/>
              </w:rPr>
              <w:t xml:space="preserve">这是 v2.0 最重要的架构决策：Tool 执行逻辑与 MCP 传输层之间增加一个薄抽象层，当前透明传递，未来 HPG 可在此层插入控制逻辑而无需修改任何 Tool 代码。</w:t>
            </w:r>
          </w:p>
        </w:tc>
      </w:tr>
    </w:tbl>
    <w:p>
      <w:pPr>
        <w:spacing w:before="80" w:after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E2A3A" w:val="clear"/>
            <w:tcMar>
              <w:top w:type="dxa" w:w="140"/>
              <w:left w:type="dxa" w:w="220"/>
              <w:bottom w:type="dxa" w:w="140"/>
              <w:right w:type="dxa" w:w="220"/>
            </w:tcMar>
          </w:tcPr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# src/oprocess/gateway.py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from typing import Protocol, Any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/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class ToolGatewayInterface(Protocol):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"""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工具执行网关接口。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当前实现：PassthroughGateway（透明传递）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未来实现：HPGGateway（接入 HPG Server 控制面）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"""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async def execute(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    self,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    tool_name: str,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    payload: dict[str, Any],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    session_id: str,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    agent_id: str | None = None,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) -&gt; dict[str, Any]: ...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/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/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class PassthroughGateway: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"""MVP 阶段：透明传递，写入 SessionAuditLog 后直接执行 Tool 逻辑。"""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async def execute(self, tool_name, payload, session_id, agent_id=None):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    await audit_log.write(session_id, tool_name, payload)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    return await TOOL_REGISTRY[tool_name](**payload)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2"/>
        <w:pBdr>
          <w:bottom w:val="single" w:color="0F7B6C" w:sz="4" w:space="4"/>
        </w:pBdr>
        <w:spacing w:before="280" w:after="140"/>
      </w:pPr>
      <w:r>
        <w:rPr>
          <w:rFonts w:ascii="Arial" w:cs="Arial" w:eastAsia="Arial" w:hAnsi="Arial"/>
          <w:b/>
          <w:bCs/>
          <w:color w:val="0F7B6C"/>
          <w:sz w:val="28"/>
          <w:szCs w:val="28"/>
        </w:rPr>
        <w:t xml:space="preserve">6.2 接入点对照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360"/>
        <w:gridCol w:w="3600"/>
      </w:tblGrid>
      <w:tr>
        <w:tc>
          <w:tcPr>
            <w:tcW w:type="dxa" w:w="24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接口</w:t>
            </w:r>
          </w:p>
        </w:tc>
        <w:tc>
          <w:tcPr>
            <w:tcW w:type="dxa" w:w="336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当前 O'Process 实现</w:t>
            </w:r>
          </w:p>
        </w:tc>
        <w:tc>
          <w:tcPr>
            <w:tcW w:type="dxa" w:w="36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未来 HPG 接入后替换</w:t>
            </w:r>
          </w:p>
        </w:tc>
      </w:tr>
      <w:t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ToolGatewayInterface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FastMCP 直接暴露 Tool，无拦截层</w:t>
            </w:r>
          </w:p>
        </w:tc>
        <w:tc>
          <w:tcPr>
            <w:tcW w:type="dxa" w:w="3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HPG Server 作为网关在 MCP Client 与 O'Process 之间插入，O'Process 代码零改动</w:t>
            </w:r>
          </w:p>
        </w:tc>
      </w:tr>
      <w:t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session_id 字段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所有 Tool 输入含可选 session_id（默认 UUID）</w:t>
            </w:r>
          </w:p>
        </w:tc>
        <w:tc>
          <w:tcPr>
            <w:tcW w:type="dxa" w:w="3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HPG 接入后 session_id 由网关注入，CaseId 直接映射</w:t>
            </w:r>
          </w:p>
        </w:tc>
      </w:tr>
      <w:t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SessionAuditLog 格式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本地 SQLite 追加写入，含预留 governance_ext 扩展字段</w:t>
            </w:r>
          </w:p>
        </w:tc>
        <w:tc>
          <w:tcPr>
            <w:tcW w:type="dxa" w:w="3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HPG 读取 audit log 作为特征输入，驱动资源消耗追踪</w:t>
            </w:r>
          </w:p>
        </w:tc>
      </w:tr>
      <w:t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ProvenanceChain 格式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轻量 JSON 数组，含 node_id · confidence · path</w:t>
            </w:r>
          </w:p>
        </w:tc>
        <w:tc>
          <w:tcPr>
            <w:tcW w:type="dxa" w:w="3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HPG C 流程可直接消费升级为 ClaimNode + EvidencePointerNode 完整图谱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2"/>
        <w:pBdr>
          <w:bottom w:val="single" w:color="0F7B6C" w:sz="4" w:space="4"/>
        </w:pBdr>
        <w:spacing w:before="280" w:after="140"/>
      </w:pPr>
      <w:r>
        <w:rPr>
          <w:rFonts w:ascii="Arial" w:cs="Arial" w:eastAsia="Arial" w:hAnsi="Arial"/>
          <w:b/>
          <w:bCs/>
          <w:color w:val="0F7B6C"/>
          <w:sz w:val="28"/>
          <w:szCs w:val="28"/>
        </w:rPr>
        <w:t xml:space="preserve">6.3 项目目录结构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E2A3A" w:val="clear"/>
            <w:tcMar>
              <w:top w:type="dxa" w:w="140"/>
              <w:left w:type="dxa" w:w="220"/>
              <w:bottom w:type="dxa" w:w="140"/>
              <w:right w:type="dxa" w:w="220"/>
            </w:tcMar>
          </w:tcPr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oprocess/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├── CLAUDE.md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├── pyproject.toml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├── README.md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├── docs/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├── PRD-v2.md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└── mcp-schema.json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├── content/                   # Tim O 原创内容（不进 Repo，用户自行维护）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└── oprocess_content.xlsx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├── scripts/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├── ingest.py              # Excel → SQLite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├── embed.py               # 批量 embedding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└── translate.py           # 多语言批量翻译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├── src/oprocess/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├── __init__.py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├── server.py              # FastMCP 主入口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├── gateway.py             # ToolGatewayInterface + PassthroughGateway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├── tools/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│   ├── search.py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│   ├── tree.py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│   ├── responsibilities.py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│   ├── role_map.py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│   ├── kpi.py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│   ├── compare.py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│   └── export.py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├── governance/            # Gov-Lite 三能力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│   ├── provenance.py      # ProvenanceChain 生成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│   ├── audit.py           # SessionAuditLog 写入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│   └── boundary.py        # BoundaryResponse 生成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├── resources/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│   └── oprocess_resources.py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└── db/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    ├── connection.py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│       └── queries.py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└── tests/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├── test_tools/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├── test_governance/       # Gov-Lite 专项测试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│   ├── test_provenance.py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│   ├── test_audit.py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│   └── test_boundary.py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├── test_performance.py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└── fixtures/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    ├── annotated_queries.json     # 50 个标注查询集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      └── boundary_queries.json      # 10 个标注边界查询</w:t>
            </w:r>
          </w:p>
        </w:tc>
      </w:tr>
    </w:tbl>
    <w:p>
      <w:pPr>
        <w:spacing w:before="200" w:after="0"/>
      </w:pPr>
      <w:r>
        <w:t xml:space="preserve"/>
      </w:r>
    </w:p>
    <w:p>
      <w:pPr>
        <w:pStyle w:val="Heading1"/>
        <w:spacing w:before="400" w:after="180"/>
      </w:pPr>
      <w:r>
        <w:rPr>
          <w:rFonts w:ascii="Arial" w:cs="Arial" w:eastAsia="Arial" w:hAnsi="Arial"/>
          <w:b/>
          <w:bCs/>
          <w:color w:val="1A3C5E"/>
          <w:sz w:val="38"/>
          <w:szCs w:val="38"/>
        </w:rPr>
        <w:t xml:space="preserve">7. 数据模型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400"/>
        <w:gridCol w:w="5760"/>
      </w:tblGrid>
      <w:tr>
        <w:tc>
          <w:tcPr>
            <w:tcW w:type="dxa" w:w="22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结构体</w:t>
            </w:r>
          </w:p>
        </w:tc>
        <w:tc>
          <w:tcPr>
            <w:tcW w:type="dxa" w:w="14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来源</w:t>
            </w:r>
          </w:p>
        </w:tc>
        <w:tc>
          <w:tcPr>
            <w:tcW w:type="dxa" w:w="576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核心字段</w:t>
            </w:r>
          </w:p>
        </w:tc>
      </w:tr>
      <w:tr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ProcessNode</w:t>
            </w:r>
          </w:p>
        </w:tc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原版</w:t>
            </w:r>
          </w:p>
        </w:tc>
        <w:tc>
          <w:tcPr>
            <w:tcW w:type="dxa" w:w="57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id · level · parent_id · name_en · name_zh · name_[lang] · description · embedding</w:t>
            </w:r>
          </w:p>
        </w:tc>
      </w:tr>
      <w:tr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KPI</w:t>
            </w:r>
          </w:p>
        </w:tc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原版</w:t>
            </w:r>
          </w:p>
        </w:tc>
        <w:tc>
          <w:tcPr>
            <w:tcW w:type="dxa" w:w="57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id · process_id · metric_name · metric_zh · unit</w:t>
            </w:r>
          </w:p>
        </w:tc>
      </w:tr>
      <w:tr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RoleMapping</w:t>
            </w:r>
          </w:p>
        </w:tc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原版</w:t>
            </w:r>
          </w:p>
        </w:tc>
        <w:tc>
          <w:tcPr>
            <w:tcW w:type="dxa" w:w="57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role_name · process_id · confidence · created_at</w:t>
            </w:r>
          </w:p>
        </w:tc>
      </w:tr>
      <w:tr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B8860B"/>
                <w:sz w:val="20"/>
                <w:szCs w:val="20"/>
              </w:rPr>
              <w:t xml:space="preserve">ProvenanceChain</w:t>
            </w:r>
          </w:p>
        </w:tc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8E1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B8860B"/>
                <w:sz w:val="20"/>
                <w:szCs w:val="20"/>
              </w:rPr>
              <w:t xml:space="preserve">HPG C融合</w:t>
            </w:r>
          </w:p>
        </w:tc>
        <w:tc>
          <w:tcPr>
            <w:tcW w:type="dxa" w:w="57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[ { node_id, name, confidence, path, derivation_rule } ]</w:t>
            </w:r>
          </w:p>
        </w:tc>
      </w:tr>
      <w:tr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B8860B"/>
                <w:sz w:val="20"/>
                <w:szCs w:val="20"/>
              </w:rPr>
              <w:t xml:space="preserve">SessionAuditRecord</w:t>
            </w:r>
          </w:p>
        </w:tc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8E1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B8860B"/>
                <w:sz w:val="20"/>
                <w:szCs w:val="20"/>
              </w:rPr>
              <w:t xml:space="preserve">HPG A融合</w:t>
            </w:r>
          </w:p>
        </w:tc>
        <w:tc>
          <w:tcPr>
            <w:tcW w:type="dxa" w:w="57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session_id · tool_name · input_hash · output_node_ids · timestamp · lang · governance_ext</w:t>
            </w:r>
          </w:p>
        </w:tc>
      </w:tr>
      <w:tr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B8860B"/>
                <w:sz w:val="20"/>
                <w:szCs w:val="20"/>
              </w:rPr>
              <w:t xml:space="preserve">BoundaryResponse</w:t>
            </w:r>
          </w:p>
        </w:tc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8E1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B8860B"/>
                <w:sz w:val="20"/>
                <w:szCs w:val="20"/>
              </w:rPr>
              <w:t xml:space="preserve">HPG B融合</w:t>
            </w:r>
          </w:p>
        </w:tc>
        <w:tc>
          <w:tcPr>
            <w:tcW w:type="dxa" w:w="57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boundary_reason · nearest_valid_nodes[ ] · suggestion · query_embedding_distance</w:t>
            </w:r>
          </w:p>
        </w:tc>
      </w:tr>
      <w:tr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4A5568"/>
                <w:sz w:val="20"/>
                <w:szCs w:val="20"/>
              </w:rPr>
              <w:t xml:space="preserve">ToolResponse</w:t>
            </w:r>
          </w:p>
        </w:tc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新封装</w:t>
            </w:r>
          </w:p>
        </w:tc>
        <w:tc>
          <w:tcPr>
            <w:tcW w:type="dxa" w:w="57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result · provenance_chain · session_id · response_ms · boundary?: BoundaryResponse</w:t>
            </w:r>
          </w:p>
        </w:tc>
      </w:tr>
    </w:tbl>
    <w:p>
      <w:pPr>
        <w:spacing w:before="100" w:after="0"/>
      </w:pPr>
      <w:r>
        <w:t xml:space="preserve"/>
      </w:r>
    </w:p>
    <w:p>
      <w:pPr>
        <w:pStyle w:val="Heading2"/>
        <w:pBdr>
          <w:bottom w:val="single" w:color="0F7B6C" w:sz="4" w:space="4"/>
        </w:pBdr>
        <w:spacing w:before="280" w:after="140"/>
      </w:pPr>
      <w:r>
        <w:rPr>
          <w:rFonts w:ascii="Arial" w:cs="Arial" w:eastAsia="Arial" w:hAnsi="Arial"/>
          <w:b/>
          <w:bCs/>
          <w:color w:val="0F7B6C"/>
          <w:sz w:val="28"/>
          <w:szCs w:val="28"/>
        </w:rPr>
        <w:t xml:space="preserve">7.1 完整 SQLite Schema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E2A3A" w:val="clear"/>
            <w:tcMar>
              <w:top w:type="dxa" w:w="140"/>
              <w:left w:type="dxa" w:w="220"/>
              <w:bottom w:type="dxa" w:w="140"/>
              <w:right w:type="dxa" w:w="220"/>
            </w:tcMar>
          </w:tcPr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-- 主表：流程条目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CREATE TABLE processes (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id          TEXT PRIMARY KEY,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level       INTEGER NOT NULL,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parent_id   TEXT,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name_en     TEXT NOT NULL,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name_zh     TEXT,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name_ext    TEXT,           -- JSON: {"ja": ..., "ko": ...}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description TEXT,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category    TEXT,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author_note TEXT,           -- Tim O 原创注释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embedding   BLOB            -- text-embedding-3-small 1536维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);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/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-- KPI 关联表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CREATE TABLE kpis (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id          TEXT PRIMARY KEY,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process_id  TEXT REFERENCES processes(id),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metric_name TEXT NOT NULL,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metric_zh   TEXT,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unit        TEXT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);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/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-- 角色映射缓存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CREATE TABLE role_mappings (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role_name   TEXT NOT NULL,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process_id  TEXT REFERENCES processes(id),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confidence  REAL,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created_at  TIMESTAMP DEFAULT CURRENT_TIMESTAMP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);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/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-- [Gov-Lite] 会话审计日志（追加写入，触发器防改）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CREATE TABLE session_audit_log (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id              INTEGER PRIMARY KEY AUTOINCREMENT,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session_id      TEXT    NOT NULL,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tool_name       TEXT    NOT NULL,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input_hash      TEXT    NOT NULL,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output_node_ids TEXT,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lang            TEXT,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response_ms     INTEGER,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timestamp       TEXT    NOT NULL,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  governance_ext  TEXT    DEFAULT '{}'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);</w:t>
            </w:r>
          </w:p>
        </w:tc>
      </w:tr>
    </w:tbl>
    <w:p>
      <w:pPr>
        <w:spacing w:before="200" w:after="0"/>
      </w:pPr>
      <w:r>
        <w:t xml:space="preserve"/>
      </w:r>
    </w:p>
    <w:p>
      <w:pPr>
        <w:pStyle w:val="Heading1"/>
        <w:spacing w:before="400" w:after="180"/>
      </w:pPr>
      <w:r>
        <w:rPr>
          <w:rFonts w:ascii="Arial" w:cs="Arial" w:eastAsia="Arial" w:hAnsi="Arial"/>
          <w:b/>
          <w:bCs/>
          <w:color w:val="1A3C5E"/>
          <w:sz w:val="38"/>
          <w:szCs w:val="38"/>
        </w:rPr>
        <w:t xml:space="preserve">8. 非功能需求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800"/>
        <w:gridCol w:w="4360"/>
      </w:tblGrid>
      <w:tr>
        <w:tc>
          <w:tcPr>
            <w:tcW w:type="dxa" w:w="22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NFR</w:t>
            </w:r>
          </w:p>
        </w:tc>
        <w:tc>
          <w:tcPr>
            <w:tcW w:type="dxa" w:w="28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目标值</w:t>
            </w:r>
          </w:p>
        </w:tc>
        <w:tc>
          <w:tcPr>
            <w:tcW w:type="dxa" w:w="436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备注</w:t>
            </w:r>
          </w:p>
        </w:tc>
      </w:tr>
      <w:tr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响应时延（主查询）</w:t>
            </w:r>
          </w:p>
        </w:tc>
        <w:tc>
          <w:tcPr>
            <w:tcW w:type="dxa" w:w="2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P95 &lt; 300ms</w:t>
            </w:r>
          </w:p>
        </w:tc>
        <w:tc>
          <w:tcPr>
            <w:tcW w:type="dxa" w:w="4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向量预计算，运行时仅 SQLite 查询</w:t>
            </w:r>
          </w:p>
        </w:tc>
      </w:tr>
      <w:tr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ProvenanceChain 开销</w:t>
            </w:r>
          </w:p>
        </w:tc>
        <w:tc>
          <w:tcPr>
            <w:tcW w:type="dxa" w:w="2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&lt; 20ms 增量</w:t>
            </w:r>
          </w:p>
        </w:tc>
        <w:tc>
          <w:tcPr>
            <w:tcW w:type="dxa" w:w="4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实时从 process 表组装，无额外 embedding 调用</w:t>
            </w:r>
          </w:p>
        </w:tc>
      </w:tr>
      <w:tr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SessionAuditLog 写入</w:t>
            </w:r>
          </w:p>
        </w:tc>
        <w:tc>
          <w:tcPr>
            <w:tcW w:type="dxa" w:w="2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&lt; 5ms，不阻塞主响应</w:t>
            </w:r>
          </w:p>
        </w:tc>
        <w:tc>
          <w:tcPr>
            <w:tcW w:type="dxa" w:w="4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异步写入或主流程最后步骤，失败静默</w:t>
            </w:r>
          </w:p>
        </w:tc>
      </w:tr>
      <w:tr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BoundaryResponse 触发</w:t>
            </w:r>
          </w:p>
        </w:tc>
        <w:tc>
          <w:tcPr>
            <w:tcW w:type="dxa" w:w="2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&lt; 50ms 额外开销</w:t>
            </w:r>
          </w:p>
        </w:tc>
        <w:tc>
          <w:tcPr>
            <w:tcW w:type="dxa" w:w="4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与主搜索共用同一次向量计算</w:t>
            </w:r>
          </w:p>
        </w:tc>
      </w:tr>
      <w:tr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内存占用</w:t>
            </w:r>
          </w:p>
        </w:tc>
        <w:tc>
          <w:tcPr>
            <w:tcW w:type="dxa" w:w="2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&lt; 150MB</w:t>
            </w:r>
          </w:p>
        </w:tc>
        <w:tc>
          <w:tcPr>
            <w:tcW w:type="dxa" w:w="4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含 SQLite 和 embedding 缓存</w:t>
            </w:r>
          </w:p>
        </w:tc>
      </w:tr>
      <w:tr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可移植性</w:t>
            </w:r>
          </w:p>
        </w:tc>
        <w:tc>
          <w:tcPr>
            <w:tcW w:type="dxa" w:w="2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macOS / Linux / WSL2</w:t>
            </w:r>
          </w:p>
        </w:tc>
        <w:tc>
          <w:tcPr>
            <w:tcW w:type="dxa" w:w="4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纯 Python + SQLite，无系统依赖</w:t>
            </w:r>
          </w:p>
        </w:tc>
      </w:tr>
    </w:tbl>
    <w:p>
      <w:pPr>
        <w:spacing w:before="200" w:after="0"/>
      </w:pPr>
      <w:r>
        <w:t xml:space="preserve"/>
      </w:r>
    </w:p>
    <w:p>
      <w:pPr>
        <w:pStyle w:val="Heading1"/>
        <w:spacing w:before="400" w:after="180"/>
      </w:pPr>
      <w:r>
        <w:rPr>
          <w:rFonts w:ascii="Arial" w:cs="Arial" w:eastAsia="Arial" w:hAnsi="Arial"/>
          <w:b/>
          <w:bCs/>
          <w:color w:val="1A3C5E"/>
          <w:sz w:val="38"/>
          <w:szCs w:val="38"/>
        </w:rPr>
        <w:t xml:space="preserve">9. 开发里程碑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1400"/>
        <w:gridCol w:w="2000"/>
        <w:gridCol w:w="3060"/>
        <w:gridCol w:w="2200"/>
      </w:tblGrid>
      <w:tr>
        <w:tc>
          <w:tcPr>
            <w:tcW w:type="dxa" w:w="7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阶段</w:t>
            </w:r>
          </w:p>
        </w:tc>
        <w:tc>
          <w:tcPr>
            <w:tcW w:type="dxa" w:w="14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周期</w:t>
            </w:r>
          </w:p>
        </w:tc>
        <w:tc>
          <w:tcPr>
            <w:tcW w:type="dxa" w:w="20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交付物</w:t>
            </w:r>
          </w:p>
        </w:tc>
        <w:tc>
          <w:tcPr>
            <w:tcW w:type="dxa" w:w="306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关键任务</w:t>
            </w:r>
          </w:p>
        </w:tc>
        <w:tc>
          <w:tcPr>
            <w:tcW w:type="dxa" w:w="22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完成标准</w:t>
            </w:r>
          </w:p>
        </w:tc>
      </w:tr>
      <w:tr>
        <w:tc>
          <w:tcPr>
            <w:tcW w:type="dxa" w:w="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E8F4F2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7B6C"/>
                <w:sz w:val="20"/>
                <w:szCs w:val="20"/>
              </w:rPr>
              <w:t xml:space="preserve">M-1</w:t>
            </w:r>
          </w:p>
        </w:tc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第 1-3 周</w:t>
            </w:r>
          </w:p>
        </w:tc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3C5E"/>
                <w:sz w:val="20"/>
                <w:szCs w:val="20"/>
              </w:rPr>
              <w:t xml:space="preserve">原创内容体系</w:t>
            </w:r>
          </w:p>
        </w:tc>
        <w:tc>
          <w:tcPr>
            <w:tcW w:type="dxa" w:w="30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基于 20 年经验重写流程条目；完成中文主版本；规划多语言结构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≥500 条原创条目完成中文初稿，可导入 SQLite</w:t>
            </w:r>
          </w:p>
        </w:tc>
      </w:tr>
      <w:tr>
        <w:tc>
          <w:tcPr>
            <w:tcW w:type="dxa" w:w="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E8F4F2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7B6C"/>
                <w:sz w:val="20"/>
                <w:szCs w:val="20"/>
              </w:rPr>
              <w:t xml:space="preserve">M0</w:t>
            </w:r>
          </w:p>
        </w:tc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第 4 周</w:t>
            </w:r>
          </w:p>
        </w:tc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3C5E"/>
                <w:sz w:val="20"/>
                <w:szCs w:val="20"/>
              </w:rPr>
              <w:t xml:space="preserve">数据就绪</w:t>
            </w:r>
          </w:p>
        </w:tc>
        <w:tc>
          <w:tcPr>
            <w:tcW w:type="dxa" w:w="30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Excel→SQLite 转换；多语言字段结构；向量化 embedding；ProvenanceChain 数据结构定义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全量条目入库，语义搜索 P95 &lt;200ms</w:t>
            </w:r>
          </w:p>
        </w:tc>
      </w:tr>
      <w:tr>
        <w:tc>
          <w:tcPr>
            <w:tcW w:type="dxa" w:w="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E8F4F2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7B6C"/>
                <w:sz w:val="20"/>
                <w:szCs w:val="20"/>
              </w:rPr>
              <w:t xml:space="preserve">M1</w:t>
            </w:r>
          </w:p>
        </w:tc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第 5 周</w:t>
            </w:r>
          </w:p>
        </w:tc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3C5E"/>
                <w:sz w:val="20"/>
                <w:szCs w:val="20"/>
              </w:rPr>
              <w:t xml:space="preserve">MCP Server MVP</w:t>
            </w:r>
          </w:p>
        </w:tc>
        <w:tc>
          <w:tcPr>
            <w:tcW w:type="dxa" w:w="30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FastMCP 框架；4 核心 Tool；ToolGatewayInterface 抽象层；session_id 字段注入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Claude Desktop 可调用，响应含 session_id</w:t>
            </w:r>
          </w:p>
        </w:tc>
      </w:tr>
      <w:tr>
        <w:tc>
          <w:tcPr>
            <w:tcW w:type="dxa" w:w="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E8F4F2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7B6C"/>
                <w:sz w:val="20"/>
                <w:szCs w:val="20"/>
              </w:rPr>
              <w:t xml:space="preserve">M2</w:t>
            </w:r>
          </w:p>
        </w:tc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第 6 周</w:t>
            </w:r>
          </w:p>
        </w:tc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3C5E"/>
                <w:sz w:val="20"/>
                <w:szCs w:val="20"/>
              </w:rPr>
              <w:t xml:space="preserve">Tool 完整集 + Gov-Lite</w:t>
            </w:r>
          </w:p>
        </w:tc>
        <w:tc>
          <w:tcPr>
            <w:tcW w:type="dxa" w:w="30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7 个 Tool 全通；ProvenanceChain 附加；SessionAuditLog 写入；BoundaryResponse 触发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溯源字段出现在所有响应；边界场景结构化返回</w:t>
            </w:r>
          </w:p>
        </w:tc>
      </w:tr>
      <w:tr>
        <w:tc>
          <w:tcPr>
            <w:tcW w:type="dxa" w:w="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E8F4F2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7B6C"/>
                <w:sz w:val="20"/>
                <w:szCs w:val="20"/>
              </w:rPr>
              <w:t xml:space="preserve">M3</w:t>
            </w:r>
          </w:p>
        </w:tc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第 7 周</w:t>
            </w:r>
          </w:p>
        </w:tc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3C5E"/>
                <w:sz w:val="20"/>
                <w:szCs w:val="20"/>
              </w:rPr>
              <w:t xml:space="preserve">集成与发布</w:t>
            </w:r>
          </w:p>
        </w:tc>
        <w:tc>
          <w:tcPr>
            <w:tcW w:type="dxa" w:w="30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接入 OPC 法律 AI；pip 打包；mcp.so 提交；多语言版本 README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外部安装 &lt;5 分钟；溯源可读性验收</w:t>
            </w:r>
          </w:p>
        </w:tc>
      </w:tr>
    </w:tbl>
    <w:p>
      <w:pPr>
        <w:spacing w:before="100" w:after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"/>
        <w:gridCol w:w="9180"/>
      </w:tblGrid>
      <w:tr>
        <w:tc>
          <w:tcPr>
            <w:tcW w:type="dxa" w:w="180"/>
            <w:tcBorders>
              <w:top w:val="single" w:color="0F7B6C" w:sz="1"/>
              <w:left w:val="single" w:color="0F7B6C" w:sz="1"/>
              <w:bottom w:val="single" w:color="0F7B6C" w:sz="1"/>
              <w:right w:val="none" w:color="FFFFFF" w:sz="0"/>
            </w:tcBorders>
            <w:shd w:fill="E8F4F2" w:val="clear"/>
            <w:tcMar>
              <w:top w:type="dxa" w:w="100"/>
              <w:left w:type="dxa" w:w="140"/>
              <w:bottom w:type="dxa" w:w="100"/>
              <w:right w:type="dxa" w:w="0"/>
            </w:tcMar>
          </w:tcPr>
          <w:p>
            <w:r>
              <w:rPr>
                <w:rFonts w:ascii="Arial" w:cs="Arial" w:eastAsia="Arial" w:hAnsi="Arial"/>
                <w:b/>
                <w:bCs/>
                <w:color w:val="0F7B6C"/>
                <w:sz w:val="20"/>
                <w:szCs w:val="20"/>
              </w:rPr>
              <w:t xml:space="preserve">ℹ  </w:t>
            </w:r>
          </w:p>
        </w:tc>
        <w:tc>
          <w:tcPr>
            <w:tcW w:type="dxa" w:w="9180"/>
            <w:tcBorders>
              <w:top w:val="single" w:color="0F7B6C" w:sz="1"/>
              <w:left w:val="none" w:color="FFFFFF" w:sz="0"/>
              <w:bottom w:val="single" w:color="0F7B6C" w:sz="1"/>
              <w:right w:val="single" w:color="0F7B6C" w:sz="1"/>
            </w:tcBorders>
            <w:shd w:fill="E8F4F2" w:val="clear"/>
            <w:tcMar>
              <w:top w:type="dxa" w:w="100"/>
              <w:left w:type="dxa" w:w="100"/>
              <w:bottom w:type="dxa" w:w="100"/>
              <w:right w:type="dxa" w:w="14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color w:val="1A3C5E"/>
                <w:sz w:val="20"/>
                <w:szCs w:val="20"/>
              </w:rPr>
              <w:t xml:space="preserve">M-1 为内容创作阶段，由 Tim O 主导，产出物是 oprocess_content.xlsx。Claude Code 从 M0 开始介入。M0-M3 总计 4 周，内容创作并行进行。</w:t>
            </w:r>
          </w:p>
        </w:tc>
      </w:tr>
    </w:tbl>
    <w:p>
      <w:pPr>
        <w:spacing w:before="200" w:after="0"/>
      </w:pPr>
      <w:r>
        <w:t xml:space="preserve"/>
      </w:r>
    </w:p>
    <w:p>
      <w:pPr>
        <w:pStyle w:val="Heading1"/>
        <w:spacing w:before="400" w:after="180"/>
      </w:pPr>
      <w:r>
        <w:rPr>
          <w:rFonts w:ascii="Arial" w:cs="Arial" w:eastAsia="Arial" w:hAnsi="Arial"/>
          <w:b/>
          <w:bCs/>
          <w:color w:val="1A3C5E"/>
          <w:sz w:val="38"/>
          <w:szCs w:val="38"/>
        </w:rPr>
        <w:t xml:space="preserve">10. 质量门禁（Quality Gates）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1400"/>
        <w:gridCol w:w="3360"/>
        <w:gridCol w:w="2600"/>
      </w:tblGrid>
      <w:tr>
        <w:tc>
          <w:tcPr>
            <w:tcW w:type="dxa" w:w="20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门禁维度</w:t>
            </w:r>
          </w:p>
        </w:tc>
        <w:tc>
          <w:tcPr>
            <w:tcW w:type="dxa" w:w="14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类别</w:t>
            </w:r>
          </w:p>
        </w:tc>
        <w:tc>
          <w:tcPr>
            <w:tcW w:type="dxa" w:w="336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验收标准</w:t>
            </w:r>
          </w:p>
        </w:tc>
        <w:tc>
          <w:tcPr>
            <w:tcW w:type="dxa" w:w="26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测量方式</w:t>
            </w:r>
          </w:p>
        </w:tc>
      </w:tr>
      <w:tr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MCP 协议合规</w:t>
            </w:r>
          </w:p>
        </w:tc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技术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Tool schema 符合 MCP spec（声明 protocol_version）；新版 spec 发布后 30 天内验证兼容性</w:t>
            </w:r>
          </w:p>
        </w:tc>
        <w:tc>
          <w:tcPr>
            <w:tcW w:type="dxa" w:w="2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mcp-inspector 自动扫描 + CI 版本锁定</w:t>
            </w:r>
          </w:p>
        </w:tc>
      </w:tr>
      <w:tr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语义搜索精度</w:t>
            </w:r>
          </w:p>
        </w:tc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功能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Top-3 召回准确率 ≥85%（基于 50 个标注查询集）</w:t>
            </w:r>
          </w:p>
        </w:tc>
        <w:tc>
          <w:tcPr>
            <w:tcW w:type="dxa" w:w="2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自动化 eval 脚本</w:t>
            </w:r>
          </w:p>
        </w:tc>
      </w:tr>
      <w:tr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B8860B"/>
                <w:sz w:val="20"/>
                <w:szCs w:val="20"/>
              </w:rPr>
              <w:t xml:space="preserve">ProvenanceChain</w:t>
            </w:r>
          </w:p>
        </w:tc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8E1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B8860B"/>
                <w:sz w:val="20"/>
                <w:szCs w:val="20"/>
              </w:rPr>
              <w:t xml:space="preserve">Gov-Lite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所有返回实质内容的 Tool 响应均含 provenance_chain；字段非空率 100%</w:t>
            </w:r>
          </w:p>
        </w:tc>
        <w:tc>
          <w:tcPr>
            <w:tcW w:type="dxa" w:w="2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集成测试断言</w:t>
            </w:r>
          </w:p>
        </w:tc>
      </w:tr>
      <w:tr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B8860B"/>
                <w:sz w:val="20"/>
                <w:szCs w:val="20"/>
              </w:rPr>
              <w:t xml:space="preserve">SessionAuditLog</w:t>
            </w:r>
          </w:p>
        </w:tc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8E1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B8860B"/>
                <w:sz w:val="20"/>
                <w:szCs w:val="20"/>
              </w:rPr>
              <w:t xml:space="preserve">Gov-Lite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每次 Tool 调用均写入审计日志；日志字段含预留 governance_ext</w:t>
            </w:r>
          </w:p>
        </w:tc>
        <w:tc>
          <w:tcPr>
            <w:tcW w:type="dxa" w:w="2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pytest fixture 验证写入</w:t>
            </w:r>
          </w:p>
        </w:tc>
      </w:tr>
      <w:tr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B8860B"/>
                <w:sz w:val="20"/>
                <w:szCs w:val="20"/>
              </w:rPr>
              <w:t xml:space="preserve">BoundaryResponse</w:t>
            </w:r>
          </w:p>
        </w:tc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8E1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B8860B"/>
                <w:sz w:val="20"/>
                <w:szCs w:val="20"/>
              </w:rPr>
              <w:t xml:space="preserve">Gov-Lite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向量距离 &gt;0.45 时必须返回 BoundaryResponse 而非空结果</w:t>
            </w:r>
          </w:p>
        </w:tc>
        <w:tc>
          <w:tcPr>
            <w:tcW w:type="dxa" w:w="2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边界场景单元测试（10 个标注越界查询）</w:t>
            </w:r>
          </w:p>
        </w:tc>
      </w:tr>
      <w:tr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响应时延</w:t>
            </w:r>
          </w:p>
        </w:tc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性能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P50 &lt;100ms / P95 &lt;300ms（本地 stdio，MacBook M 系列）</w:t>
            </w:r>
          </w:p>
        </w:tc>
        <w:tc>
          <w:tcPr>
            <w:tcW w:type="dxa" w:w="2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pytest-benchmark</w:t>
            </w:r>
          </w:p>
        </w:tc>
      </w:tr>
      <w:tr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多语言覆盖</w:t>
            </w:r>
          </w:p>
        </w:tc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数据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中文主版本 100% 覆盖；英文 100%；其他语言字段结构预留</w:t>
            </w:r>
          </w:p>
        </w:tc>
        <w:tc>
          <w:tcPr>
            <w:tcW w:type="dxa" w:w="2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数据完整性检查脚本</w:t>
            </w:r>
          </w:p>
        </w:tc>
      </w:tr>
      <w:tr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原创内容完整性</w:t>
            </w:r>
          </w:p>
        </w:tc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IP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所有条目均为 Tim O 原创撰写，无直接复制 APQC 原文；含版权声明</w:t>
            </w:r>
          </w:p>
        </w:tc>
        <w:tc>
          <w:tcPr>
            <w:tcW w:type="dxa" w:w="2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人工抽检 10% + 相似度扫描</w:t>
            </w:r>
          </w:p>
        </w:tc>
      </w:tr>
      <w:tr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Gateway Interface</w:t>
            </w:r>
          </w:p>
        </w:tc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架构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ToolGatewayInterface 抽象层存在；可在不修改 Tool 逻辑的情况下插入中间件</w:t>
            </w:r>
          </w:p>
        </w:tc>
        <w:tc>
          <w:tcPr>
            <w:tcW w:type="dxa" w:w="2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架构评审 + 接口单元测试</w:t>
            </w:r>
          </w:p>
        </w:tc>
      </w:tr>
      <w:tr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安装体验</w:t>
            </w:r>
          </w:p>
        </w:tc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UX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README 按步操作 &lt;5 分钟完成 Claude Desktop 接入</w:t>
            </w:r>
          </w:p>
        </w:tc>
        <w:tc>
          <w:tcPr>
            <w:tcW w:type="dxa" w:w="2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全流程人工验收</w:t>
            </w:r>
          </w:p>
        </w:tc>
      </w:tr>
      <w:tr>
        <w:tc>
          <w:tcPr>
            <w:tcW w:type="dxa" w:w="2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代码质量</w:t>
            </w:r>
          </w:p>
        </w:tc>
        <w:tc>
          <w:tcPr>
            <w:tcW w:type="dxa" w:w="1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工程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Ruff lint 零 error；类型注解覆盖所有 public function；测试覆盖率 ≥80%</w:t>
            </w:r>
          </w:p>
        </w:tc>
        <w:tc>
          <w:tcPr>
            <w:tcW w:type="dxa" w:w="2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CI pre-commit hook + pytest --cov</w:t>
            </w:r>
          </w:p>
        </w:tc>
      </w:tr>
    </w:tbl>
    <w:p>
      <w:pPr>
        <w:spacing w:before="200" w:after="0"/>
      </w:pPr>
      <w:r>
        <w:t xml:space="preserve"/>
      </w:r>
    </w:p>
    <w:p>
      <w:pPr>
        <w:pStyle w:val="Heading1"/>
        <w:spacing w:before="400" w:after="180"/>
      </w:pPr>
      <w:r>
        <w:rPr>
          <w:rFonts w:ascii="Arial" w:cs="Arial" w:eastAsia="Arial" w:hAnsi="Arial"/>
          <w:b/>
          <w:bCs/>
          <w:color w:val="1A3C5E"/>
          <w:sz w:val="38"/>
          <w:szCs w:val="38"/>
        </w:rPr>
        <w:t xml:space="preserve">11. 风险矩阵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960"/>
        <w:gridCol w:w="5800"/>
      </w:tblGrid>
      <w:tr>
        <w:tc>
          <w:tcPr>
            <w:tcW w:type="dxa" w:w="26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风险</w:t>
            </w:r>
          </w:p>
        </w:tc>
        <w:tc>
          <w:tcPr>
            <w:tcW w:type="dxa" w:w="96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等级</w:t>
            </w:r>
          </w:p>
        </w:tc>
        <w:tc>
          <w:tcPr>
            <w:tcW w:type="dxa" w:w="58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缓解措施</w:t>
            </w:r>
          </w:p>
        </w:tc>
      </w:tr>
      <w:tr>
        <w:tc>
          <w:tcPr>
            <w:tcW w:type="dxa" w:w="2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3C5E"/>
                <w:sz w:val="20"/>
                <w:szCs w:val="20"/>
              </w:rPr>
              <w:t xml:space="preserve">M-1 内容创作工作量超出预期</w:t>
            </w:r>
          </w:p>
        </w:tc>
        <w:tc>
          <w:tcPr>
            <w:tcW w:type="dxa" w:w="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3CD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856404"/>
                <w:sz w:val="20"/>
                <w:szCs w:val="20"/>
              </w:rPr>
              <w:t xml:space="preserve">中</w:t>
            </w:r>
          </w:p>
        </w:tc>
        <w:tc>
          <w:tcPr>
            <w:tcW w:type="dxa" w:w="5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设定最小可行内容集：前 3 个 PCF 顶层分类（约 200 条）先完成入库，后续滚动补充</w:t>
            </w:r>
          </w:p>
        </w:tc>
      </w:tr>
      <w:tr>
        <w:tc>
          <w:tcPr>
            <w:tcW w:type="dxa" w:w="2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3C5E"/>
                <w:sz w:val="20"/>
                <w:szCs w:val="20"/>
              </w:rPr>
              <w:t xml:space="preserve">MCP 协议 breaking change</w:t>
            </w:r>
          </w:p>
        </w:tc>
        <w:tc>
          <w:tcPr>
            <w:tcW w:type="dxa" w:w="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3CD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856404"/>
                <w:sz w:val="20"/>
                <w:szCs w:val="20"/>
              </w:rPr>
              <w:t xml:space="preserve">中</w:t>
            </w:r>
          </w:p>
        </w:tc>
        <w:tc>
          <w:tcPr>
            <w:tcW w:type="dxa" w:w="5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CI 锁定 FastMCP 版本；ToolGatewayInterface 抽象层隔离协议细节；30 天内跟进新 spec</w:t>
            </w:r>
          </w:p>
        </w:tc>
      </w:tr>
      <w:tr>
        <w:tc>
          <w:tcPr>
            <w:tcW w:type="dxa" w:w="2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3C5E"/>
                <w:sz w:val="20"/>
                <w:szCs w:val="20"/>
              </w:rPr>
              <w:t xml:space="preserve">ProvenanceChain 增加响应体积</w:t>
            </w:r>
          </w:p>
        </w:tc>
        <w:tc>
          <w:tcPr>
            <w:tcW w:type="dxa" w:w="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4EDDA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55724"/>
                <w:sz w:val="20"/>
                <w:szCs w:val="20"/>
              </w:rPr>
              <w:t xml:space="preserve">低</w:t>
            </w:r>
          </w:p>
        </w:tc>
        <w:tc>
          <w:tcPr>
            <w:tcW w:type="dxa" w:w="5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默认返回精简版（仅 node_id + confidence）；详细版按参数 verbose=true 开启</w:t>
            </w:r>
          </w:p>
        </w:tc>
      </w:tr>
      <w:tr>
        <w:tc>
          <w:tcPr>
            <w:tcW w:type="dxa" w:w="2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3C5E"/>
                <w:sz w:val="20"/>
                <w:szCs w:val="20"/>
              </w:rPr>
              <w:t xml:space="preserve">BoundaryResponse 阈值标定不准</w:t>
            </w:r>
          </w:p>
        </w:tc>
        <w:tc>
          <w:tcPr>
            <w:tcW w:type="dxa" w:w="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4EDDA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55724"/>
                <w:sz w:val="20"/>
                <w:szCs w:val="20"/>
              </w:rPr>
              <w:t xml:space="preserve">低</w:t>
            </w:r>
          </w:p>
        </w:tc>
        <w:tc>
          <w:tcPr>
            <w:tcW w:type="dxa" w:w="5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初始阈值 0.45 基于 50 个测试集；上线后通过 SessionAuditLog 数据持续校准</w:t>
            </w:r>
          </w:p>
        </w:tc>
      </w:tr>
      <w:tr>
        <w:tc>
          <w:tcPr>
            <w:tcW w:type="dxa" w:w="2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3C5E"/>
                <w:sz w:val="20"/>
                <w:szCs w:val="20"/>
              </w:rPr>
              <w:t xml:space="preserve">多语言翻译质量</w:t>
            </w:r>
          </w:p>
        </w:tc>
        <w:tc>
          <w:tcPr>
            <w:tcW w:type="dxa" w:w="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4EDDA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55724"/>
                <w:sz w:val="20"/>
                <w:szCs w:val="20"/>
              </w:rPr>
              <w:t xml:space="preserve">低</w:t>
            </w:r>
          </w:p>
        </w:tc>
        <w:tc>
          <w:tcPr>
            <w:tcW w:type="dxa" w:w="5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中文主版本人工撰写；其他语言用 Claude API 批量翻译 + 10% 人工抽检</w:t>
            </w:r>
          </w:p>
        </w:tc>
      </w:tr>
      <w:tr>
        <w:tc>
          <w:tcPr>
            <w:tcW w:type="dxa" w:w="2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3C5E"/>
                <w:sz w:val="20"/>
                <w:szCs w:val="20"/>
              </w:rPr>
              <w:t xml:space="preserve">未来 HPG 接入架构不兼容</w:t>
            </w:r>
          </w:p>
        </w:tc>
        <w:tc>
          <w:tcPr>
            <w:tcW w:type="dxa" w:w="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4EDDA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55724"/>
                <w:sz w:val="20"/>
                <w:szCs w:val="20"/>
              </w:rPr>
              <w:t xml:space="preserve">低</w:t>
            </w:r>
          </w:p>
        </w:tc>
        <w:tc>
          <w:tcPr>
            <w:tcW w:type="dxa" w:w="5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session_id / governance_ext / ToolGatewayInterface 三个预留接口已设计；接入时只需写 HPG 适配层</w:t>
            </w:r>
          </w:p>
        </w:tc>
      </w:tr>
    </w:tbl>
    <w:p>
      <w:pPr>
        <w:spacing w:before="200" w:after="0"/>
      </w:pPr>
      <w:r>
        <w:t xml:space="preserve"/>
      </w:r>
    </w:p>
    <w:p>
      <w:pPr>
        <w:pStyle w:val="Heading1"/>
        <w:spacing w:before="400" w:after="180"/>
      </w:pPr>
      <w:r>
        <w:rPr>
          <w:rFonts w:ascii="Arial" w:cs="Arial" w:eastAsia="Arial" w:hAnsi="Arial"/>
          <w:b/>
          <w:bCs/>
          <w:color w:val="1A3C5E"/>
          <w:sz w:val="38"/>
          <w:szCs w:val="38"/>
        </w:rPr>
        <w:t xml:space="preserve">12. 技术选型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2200"/>
        <w:gridCol w:w="5560"/>
      </w:tblGrid>
      <w:tr>
        <w:tc>
          <w:tcPr>
            <w:tcW w:type="dxa" w:w="16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层</w:t>
            </w:r>
          </w:p>
        </w:tc>
        <w:tc>
          <w:tcPr>
            <w:tcW w:type="dxa" w:w="220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技术选型</w:t>
            </w:r>
          </w:p>
        </w:tc>
        <w:tc>
          <w:tcPr>
            <w:tcW w:type="dxa" w:w="556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A3C5E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选型理由</w:t>
            </w:r>
          </w:p>
        </w:tc>
      </w:tr>
      <w:tr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MCP 框架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FastMCP (Python)</w:t>
            </w:r>
          </w:p>
        </w:tc>
        <w:tc>
          <w:tcPr>
            <w:tcW w:type="dxa" w:w="55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官方推荐，最少样板；ToolGatewayInterface 在此层实现抽象，未来 HPG 可在外层注入</w:t>
            </w:r>
          </w:p>
        </w:tc>
      </w:tr>
      <w:tr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数据存储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SQLite + sqlite-vec</w:t>
            </w:r>
          </w:p>
        </w:tc>
        <w:tc>
          <w:tcPr>
            <w:tcW w:type="dxa" w:w="55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零依赖部署；SessionAuditLog 追加写入 SQLite 独立表；ProvenanceChain 实时从 process 表组装</w:t>
            </w:r>
          </w:p>
        </w:tc>
      </w:tr>
      <w:tr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向量模型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text-embedding-3-small</w:t>
            </w:r>
          </w:p>
        </w:tc>
        <w:tc>
          <w:tcPr>
            <w:tcW w:type="dxa" w:w="55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中英文效果佳；预计算离线完成；BoundaryResponse 阈值基于 cosine distance 0.45</w:t>
            </w:r>
          </w:p>
        </w:tc>
      </w:tr>
      <w:tr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内容管理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Tim O 原创体系 + pandas</w:t>
            </w:r>
          </w:p>
        </w:tc>
        <w:tc>
          <w:tcPr>
            <w:tcW w:type="dxa" w:w="55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M-1 阶段产出 Excel，pandas 解析入库；原创 IP 与工具层完全独立，可替换</w:t>
            </w:r>
          </w:p>
        </w:tc>
      </w:tr>
      <w:tr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审计日志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SQLite append-only 表</w:t>
            </w:r>
          </w:p>
        </w:tc>
        <w:tc>
          <w:tcPr>
            <w:tcW w:type="dxa" w:w="55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模拟追加写入语义（INSERT ONLY，无 UPDATE/DELETE 触发器）；含 governance_ext TEXT 列预留 HPG 扩展</w:t>
            </w:r>
          </w:p>
        </w:tc>
      </w:tr>
      <w:tr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多语言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JSON 多语言字段 + 独立列</w:t>
            </w:r>
          </w:p>
        </w:tc>
        <w:tc>
          <w:tcPr>
            <w:tcW w:type="dxa" w:w="55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name_zh / name_en / name_[iso] 独立列；搜索时按 lang 参数切换主字段</w:t>
            </w:r>
          </w:p>
        </w:tc>
      </w:tr>
      <w:tr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测试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pytest + pytest-benchmark</w:t>
            </w:r>
          </w:p>
        </w:tc>
        <w:tc>
          <w:tcPr>
            <w:tcW w:type="dxa" w:w="55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单元 + 集成 + 性能；Gov-Lite 三个能力各有专项测试套件</w:t>
            </w:r>
          </w:p>
        </w:tc>
      </w:tr>
      <w:tr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3C5E"/>
                <w:sz w:val="20"/>
                <w:szCs w:val="20"/>
              </w:rPr>
              <w:t xml:space="preserve">打包发布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7B6C"/>
                <w:sz w:val="20"/>
                <w:szCs w:val="20"/>
              </w:rPr>
              <w:t xml:space="preserve">uv + pyproject.toml</w:t>
            </w:r>
          </w:p>
        </w:tc>
        <w:tc>
          <w:tcPr>
            <w:tcW w:type="dxa" w:w="55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4A5568"/>
                <w:sz w:val="20"/>
                <w:szCs w:val="20"/>
              </w:rPr>
              <w:t xml:space="preserve">uvx 一行安装；Claude Desktop 零额外配置</w:t>
            </w:r>
          </w:p>
        </w:tc>
      </w:tr>
    </w:tbl>
    <w:p>
      <w:pPr>
        <w:spacing w:before="200" w:after="0"/>
      </w:pPr>
      <w:r>
        <w:t xml:space="preserve"/>
      </w:r>
    </w:p>
    <w:p>
      <w:pPr>
        <w:pStyle w:val="Heading1"/>
        <w:spacing w:before="400" w:after="180"/>
      </w:pPr>
      <w:r>
        <w:rPr>
          <w:rFonts w:ascii="Arial" w:cs="Arial" w:eastAsia="Arial" w:hAnsi="Arial"/>
          <w:b/>
          <w:bCs/>
          <w:color w:val="1A3C5E"/>
          <w:sz w:val="38"/>
          <w:szCs w:val="38"/>
        </w:rPr>
        <w:t xml:space="preserve">13. 附录</w:t>
      </w:r>
    </w:p>
    <w:p>
      <w:pPr>
        <w:pStyle w:val="Heading2"/>
        <w:pBdr>
          <w:bottom w:val="single" w:color="0F7B6C" w:sz="4" w:space="4"/>
        </w:pBdr>
        <w:spacing w:before="280" w:after="140"/>
      </w:pPr>
      <w:r>
        <w:rPr>
          <w:rFonts w:ascii="Arial" w:cs="Arial" w:eastAsia="Arial" w:hAnsi="Arial"/>
          <w:b/>
          <w:bCs/>
          <w:color w:val="0F7B6C"/>
          <w:sz w:val="28"/>
          <w:szCs w:val="28"/>
        </w:rPr>
        <w:t xml:space="preserve">13.1 CLAUDE.md 模板（v2.0）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1A3C5E" w:sz="1"/>
              <w:left w:val="single" w:color="1A3C5E" w:sz="1"/>
              <w:bottom w:val="single" w:color="1A3C5E" w:sz="1"/>
              <w:right w:val="single" w:color="1A3C5E" w:sz="1"/>
            </w:tcBorders>
            <w:shd w:fill="1E2A3A" w:val="clear"/>
            <w:tcMar>
              <w:top w:type="dxa" w:w="140"/>
              <w:left w:type="dxa" w:w="220"/>
              <w:bottom w:type="dxa" w:w="140"/>
              <w:right w:type="dxa" w:w="220"/>
            </w:tcMar>
          </w:tcPr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# CLAUDE.md — O'Process v2.0 工作指引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/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## 产品定位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O'Process 是流程知识 MCP Server，不是 Agent 治理平台。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核心能力：查询 · 映射 · 生成。Governance-Lite 是透明增强层。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/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## 开发顺序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M0（数据）→ M1（Server + Gateway）→ M2（Tool完整集 + Gov-Lite）→ M3（集成发布）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/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## 核心规范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- 所有 Tool 签名严格遵循 PRD 第 4 节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- 所有 Tool 响应封装为 ToolResponse（result / provenance_chain / session_id / response_ms）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- Tool 逻辑必须通过 ToolGatewayInterface 执行，不直接调用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- SessionAuditLog 写入失败不得影响主流程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- BoundaryResponse 阈值从配置读取，不硬编码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- 内容文件（oprocess_content.xlsx）不进 Repo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/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## Governance-Lite 实现顺序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1. SessionAuditLog（最简单，先做）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2. BoundaryResponse（搜索层改造）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3. ProvenanceChain（最复杂，最后做）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/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## 测试要求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每个 Tool 完成后立即写单元测试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Gov-Lite 三个能力各有专项测试套件（见 tests/test_governance/）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覆盖率保持 &gt;80%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/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## 质量门禁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A8D8A8"/>
                <w:sz w:val="18"/>
                <w:szCs w:val="18"/>
              </w:rPr>
              <w:t xml:space="preserve">提交前：ruff check . &amp;&amp; pytest &amp;&amp; pytest --benchmark-only</w:t>
            </w:r>
          </w:p>
        </w:tc>
      </w:tr>
    </w:tbl>
    <w:p>
      <w:pPr>
        <w:spacing w:before="100" w:after="0"/>
      </w:pPr>
      <w:r>
        <w:t xml:space="preserve"/>
      </w:r>
    </w:p>
    <w:p>
      <w:pPr>
        <w:pStyle w:val="Heading2"/>
        <w:pBdr>
          <w:bottom w:val="single" w:color="0F7B6C" w:sz="4" w:space="4"/>
        </w:pBdr>
        <w:spacing w:before="280" w:after="140"/>
      </w:pPr>
      <w:r>
        <w:rPr>
          <w:rFonts w:ascii="Arial" w:cs="Arial" w:eastAsia="Arial" w:hAnsi="Arial"/>
          <w:b/>
          <w:bCs/>
          <w:color w:val="0F7B6C"/>
          <w:sz w:val="28"/>
          <w:szCs w:val="28"/>
        </w:rPr>
        <w:t xml:space="preserve">13.2 参考资料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FastMCP 文档：https://github.com/jlowin/fastmcp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MCP 官方规范：https://spec.modelcontextprotocol.io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sqlite-vec：https://github.com/asg017/sqlite-vec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MCP 协议稳定性风险分析：https://julsimon.medium.com/why-mcps-disregard（参见 PRD v1.0 评审意见）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4A5568"/>
          <w:sz w:val="20"/>
          <w:szCs w:val="20"/>
        </w:rPr>
        <w:t xml:space="preserve">mcp.so 发布平台：https://mcp.so</w:t>
      </w:r>
    </w:p>
    <w:p>
      <w:pPr>
        <w:spacing w:before="100" w:after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"/>
        <w:gridCol w:w="9180"/>
      </w:tblGrid>
      <w:tr>
        <w:tc>
          <w:tcPr>
            <w:tcW w:type="dxa" w:w="180"/>
            <w:tcBorders>
              <w:top w:val="single" w:color="155724" w:sz="1"/>
              <w:left w:val="single" w:color="155724" w:sz="1"/>
              <w:bottom w:val="single" w:color="155724" w:sz="1"/>
              <w:right w:val="none" w:color="FFFFFF" w:sz="0"/>
            </w:tcBorders>
            <w:shd w:fill="D4EDDA" w:val="clear"/>
            <w:tcMar>
              <w:top w:type="dxa" w:w="100"/>
              <w:left w:type="dxa" w:w="140"/>
              <w:bottom w:type="dxa" w:w="100"/>
              <w:right w:type="dxa" w:w="0"/>
            </w:tcMar>
          </w:tcPr>
          <w:p>
            <w:r>
              <w:rPr>
                <w:rFonts w:ascii="Arial" w:cs="Arial" w:eastAsia="Arial" w:hAnsi="Arial"/>
                <w:b/>
                <w:bCs/>
                <w:color w:val="155724"/>
                <w:sz w:val="20"/>
                <w:szCs w:val="20"/>
              </w:rPr>
              <w:t xml:space="preserve">✓  </w:t>
            </w:r>
          </w:p>
        </w:tc>
        <w:tc>
          <w:tcPr>
            <w:tcW w:type="dxa" w:w="9180"/>
            <w:tcBorders>
              <w:top w:val="single" w:color="155724" w:sz="1"/>
              <w:left w:val="none" w:color="FFFFFF" w:sz="0"/>
              <w:bottom w:val="single" w:color="155724" w:sz="1"/>
              <w:right w:val="single" w:color="155724" w:sz="1"/>
            </w:tcBorders>
            <w:shd w:fill="D4EDDA" w:val="clear"/>
            <w:tcMar>
              <w:top w:type="dxa" w:w="100"/>
              <w:left w:type="dxa" w:w="100"/>
              <w:bottom w:type="dxa" w:w="100"/>
              <w:right w:type="dxa" w:w="14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color w:val="1A3C5E"/>
                <w:sz w:val="20"/>
                <w:szCs w:val="20"/>
              </w:rPr>
              <w:t xml:space="preserve">文档结束。下一步：Tim O 启动 M-1 内容创作，同时提交 CLAUDE.md + PRD v2.0 给 Claude Code 执行 M0 数据初始化任务。</w:t>
            </w:r>
          </w:p>
        </w:tc>
      </w:tr>
    </w:tbl>
    <w:sectPr>
      <w:headerReference w:type="default" r:id="rId6"/>
      <w:footerReference w:type="default" r:id="rId7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F7B6C" w:sz="4" w:space="4"/>
      </w:pBdr>
      <w:tabs>
        <w:tab w:val="right" w:pos="9360"/>
      </w:tabs>
      <w:spacing w:before="120"/>
    </w:pPr>
    <w:r>
      <w:rPr>
        <w:rFonts w:ascii="Arial" w:cs="Arial" w:eastAsia="Arial" w:hAnsi="Arial"/>
        <w:color w:val="4A5568"/>
        <w:sz w:val="18"/>
        <w:szCs w:val="18"/>
      </w:rPr>
      <w:t xml:space="preserve">Tim O © 2026  |  O'Process</w:t>
    </w:r>
    <w:r>
      <w:rPr>
        <w:rFonts w:ascii="Arial" w:cs="Arial" w:eastAsia="Arial" w:hAnsi="Arial"/>
        <w:color w:val="0F7B6C"/>
        <w:sz w:val="18"/>
        <w:szCs w:val="18"/>
      </w:rPr>
      <w:t xml:space="preserve">	PRD v2.0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0F7B6C" w:sz="4" w:space="4"/>
      </w:pBdr>
      <w:spacing w:after="120"/>
    </w:pPr>
    <w:r>
      <w:rPr>
        <w:rFonts w:ascii="Arial" w:cs="Arial" w:eastAsia="Arial" w:hAnsi="Arial"/>
        <w:color w:val="4A5568"/>
        <w:sz w:val="18"/>
        <w:szCs w:val="18"/>
      </w:rPr>
      <w:t xml:space="preserve">O'Process  |  PRD v2.0  |  Governance-Lite 融合版  |  机密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08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400" w:after="180"/>
      <w:outlineLvl w:val="0"/>
    </w:pPr>
    <w:rPr>
      <w:rFonts w:ascii="Arial" w:cs="Arial" w:eastAsia="Arial" w:hAnsi="Arial"/>
      <w:b/>
      <w:bCs/>
      <w:color w:val="1A3C5E"/>
      <w:sz w:val="38"/>
      <w:szCs w:val="38"/>
    </w:rPr>
  </w:style>
  <w:style w:type="paragraph" w:styleId="Heading2">
    <w:name w:val="Heading 2"/>
    <w:basedOn w:val="Normal"/>
    <w:next w:val="Normal"/>
    <w:qFormat/>
    <w:pPr>
      <w:spacing w:before="280" w:after="140"/>
      <w:outlineLvl w:val="1"/>
    </w:pPr>
    <w:rPr>
      <w:rFonts w:ascii="Arial" w:cs="Arial" w:eastAsia="Arial" w:hAnsi="Arial"/>
      <w:b/>
      <w:bCs/>
      <w:color w:val="0F7B6C"/>
      <w:sz w:val="28"/>
      <w:szCs w:val="28"/>
    </w:rPr>
  </w:style>
  <w:style w:type="paragraph" w:styleId="Heading3">
    <w:name w:val="Heading 3"/>
    <w:basedOn w:val="Normal"/>
    <w:next w:val="Normal"/>
    <w:qFormat/>
    <w:pPr>
      <w:spacing w:before="200" w:after="100"/>
      <w:outlineLvl w:val="2"/>
    </w:pPr>
    <w:rPr>
      <w:rFonts w:ascii="Arial" w:cs="Arial" w:eastAsia="Arial" w:hAnsi="Arial"/>
      <w:b/>
      <w:bCs/>
      <w:color w:val="1A3C5E"/>
      <w:sz w:val="24"/>
      <w:szCs w:val="24"/>
    </w:rPr>
  </w:style>
  <w:style w:type="paragraph" w:styleId="Heading4">
    <w:name w:val="Heading 4"/>
    <w:basedOn w:val="Normal"/>
    <w:next w:val="Normal"/>
    <w:qFormat/>
    <w:pPr>
      <w:spacing w:before="160" w:after="80"/>
      <w:outlineLvl w:val="3"/>
    </w:pPr>
    <w:rPr>
      <w:rFonts w:ascii="Arial" w:cs="Arial" w:eastAsia="Arial" w:hAnsi="Arial"/>
      <w:b/>
      <w:bCs/>
      <w:color w:val="B8860B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2026-02-22T18:31:15.134Z</dcterms:created>
  <dcterms:modified xsi:type="dcterms:W3CDTF">2026-02-22T18:31:15.135Z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