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core.xml" ContentType="application/vnd.openxmlformats-package.core-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sz w:val="20"/>
          <w:szCs w:val="20"/>
        </w:rPr>
      </w:pPr>
      <w:r w:rsidDel="00000000" w:rsidR="00000000" w:rsidRPr="00000000">
        <w:rPr>
          <w:b w:val="1"/>
          <w:color w:val="5b9bd5"/>
          <w:sz w:val="24"/>
          <w:szCs w:val="24"/>
          <w:rtl w:val="0"/>
        </w:rPr>
        <w:t xml:space="preserve">Shared Digital Commons</w:t>
      </w:r>
      <w:r w:rsidDel="00000000" w:rsidR="00000000" w:rsidRPr="00000000">
        <w:rPr>
          <w:rtl w:val="0"/>
        </w:rPr>
      </w:r>
    </w:p>
    <w:p w:rsidR="00000000" w:rsidDel="00000000" w:rsidP="00000000" w:rsidRDefault="00000000" w:rsidRPr="00000000" w14:paraId="00000002">
      <w:pPr>
        <w:rPr>
          <w:b w:val="1"/>
          <w:sz w:val="20"/>
          <w:szCs w:val="20"/>
        </w:rPr>
      </w:pPr>
      <w:r w:rsidDel="00000000" w:rsidR="00000000" w:rsidRPr="00000000">
        <w:rPr>
          <w:color w:val="000000"/>
          <w:sz w:val="18"/>
          <w:szCs w:val="18"/>
          <w:rtl w:val="0"/>
        </w:rPr>
        <w:t xml:space="preserve">Common Foundations for European Resilience in a Digital Age</w:t>
      </w:r>
      <w:r w:rsidDel="00000000" w:rsidR="00000000" w:rsidRPr="00000000">
        <w:rPr>
          <w:rtl w:val="0"/>
        </w:rPr>
      </w:r>
    </w:p>
    <w:p w:rsidR="00000000" w:rsidDel="00000000" w:rsidP="00000000" w:rsidRDefault="00000000" w:rsidRPr="00000000" w14:paraId="00000003">
      <w:pPr>
        <w:rPr>
          <w:b w:val="1"/>
          <w:sz w:val="20"/>
          <w:szCs w:val="20"/>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Shared digital commons refer to digital resources, such as data, software, and infrastructure, that are open and accessible to all. They function as public goods in the digital realm, much like roads or libraries do in the physical world. When Europe pools resources, everyone benefits. Shared platforms lower costs, speed up crisis response, and build trust through transparent, democratic governance [425].</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The EU increasingly views digital commons as foundational to both innovation and sovereignty [426]. These commons combine open-source development, collective ownership, and decentralized governance models that protect against shifts in political or financial control [425]. They serve as democratic alternatives to proprietary systems, enhancing transparency and societal value beyond the simple sharing of resources [427]. Governance models that prioritize collective participation over profit-driven control are essential for creating equitable digital commons, which support broad access [428]. They also promote long-term resilience by reducing lock-in effects and enabling public institutions, SMEs, and researchers to remain independent of foreign technology providers. The EU is already implementing this. As the EOSC enables scientists across member states to share research data under common standards, thereby breaking down silos and accelerating innovation [429]. NGI Commons is an EU initiative that creates a unified ecosystem of open-source software, hardware, and digital tools [430]. In finance, the Wero wallet unites 16 major banks to offer a European alternative to Visa and Mastercard [431].</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However, building digital commons presents real challenges, especially when data sharing is involved [432]. Different national rules, competing standards bodies, and closed proprietary systems create fragmentation [432]. Publicly funded software should be open source, encouraging governments to support digital commons that serve the public good [433].</w:t>
      </w:r>
      <w:r w:rsidDel="00000000" w:rsidR="00000000" w:rsidRPr="00000000">
        <w:rPr>
          <w:rtl w:val="0"/>
        </w:rPr>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Three critical opportunities for strengthening digital commons have been identified: unified standards that ensure seamless interoperability across systems (illustrated by the EU’s Interoperable Europe initiative), open networks where knowledge and expertise flow freely across borders, and a unified payment system. With the right regulation, funding, and cooperation, shared digital commons can become the backbone of a sovereign, resilient digital Europe.</w:t>
      </w:r>
      <w:r w:rsidDel="00000000" w:rsidR="00000000" w:rsidRPr="00000000">
        <w:br w:type="page"/>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color w:val="000000"/>
          <w:sz w:val="18"/>
          <w:szCs w:val="18"/>
        </w:rPr>
      </w:pPr>
      <w:r w:rsidDel="00000000" w:rsidR="00000000" w:rsidRPr="00000000">
        <w:rPr>
          <w:b w:val="1"/>
          <w:color w:val="5b9bd5"/>
          <w:sz w:val="24"/>
          <w:szCs w:val="24"/>
          <w:rtl w:val="0"/>
        </w:rPr>
        <w:t xml:space="preserve">Unified Standards and Interoperability</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360" w:lineRule="auto"/>
        <w:ind w:left="0" w:right="0" w:firstLine="0"/>
        <w:jc w:val="both"/>
        <w:rPr>
          <w:color w:val="000000"/>
          <w:sz w:val="18"/>
          <w:szCs w:val="18"/>
        </w:rPr>
      </w:pPr>
      <w:r w:rsidDel="00000000" w:rsidR="00000000" w:rsidRPr="00000000">
        <w:rPr>
          <w:color w:val="000000"/>
          <w:sz w:val="18"/>
          <w:szCs w:val="18"/>
          <w:rtl w:val="0"/>
        </w:rPr>
        <w:t xml:space="preserve">Driving Standards to Enhance Interoperability and Secure Collaboration</w:t>
      </w:r>
    </w:p>
    <w:p w:rsidR="00000000" w:rsidDel="00000000" w:rsidP="00000000" w:rsidRDefault="00000000" w:rsidRPr="00000000" w14:paraId="0000000D">
      <w:pPr>
        <w:rPr/>
      </w:pPr>
      <w:r w:rsidDel="00000000" w:rsidR="00000000" w:rsidRPr="00000000">
        <w:rPr>
          <w:rtl w:val="0"/>
        </w:rPr>
        <w:t>Fragmented regulations, competing standards, and national silos undermine Europe’s digital sovereignty  [434]. They slow down seamless data sharing, complicate technical integration, and hinder efficient cross-border collaboration [435]. Without unified, open standards, SMEs and large enterprises face rising complexity and costs, while becoming more dependent on non-European technologies. This poses a threat to both competitiveness and long-term resilience [434].</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Europe urgently needs trusted, transparent interoperability layers that encompass open protocols, shared data formats, and federated governance to transform the digital commons from aspiration into reality. Initiatives such as Gaia-X demonstrate the promise and challenge of building a European-native infrastructure for secure and compliant data spaces. However, scaling these efforts requires better alignment and enforcement at the EU level. Integrating hardware-software architectures inspired by replicable, modular models can further accelerate convergence and innovation [436, 437].</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t>Investing in unified standards enables Europe to strengthen sovereignty, reduce fragmentation, and compete globally with agile, composable platforms and services. This is not just a technical challenge, but a strategic imperative to future-proof Europe’s democracy, economy, and values in a multipolar digital world [434].</w:t>
      </w:r>
      <w:r w:rsidDel="00000000" w:rsidR="00000000" w:rsidRPr="00000000">
        <w:rPr>
          <w:rtl w:val="0"/>
        </w:rPr>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Quote</w:t>
      </w:r>
    </w:p>
    <w:p w:rsidR="00000000" w:rsidDel="00000000" w:rsidP="00000000" w:rsidRDefault="00000000" w:rsidRPr="00000000" w14:paraId="00000014">
      <w:pPr>
        <w:rPr/>
      </w:pPr>
      <w:r w:rsidDel="00000000" w:rsidR="00000000" w:rsidRPr="00000000">
        <w:rPr>
          <w:rtl w:val="0"/>
        </w:rPr>
        <w:t>“Europe should enforce digital regulations that mandate free and open-source technology, data sovereignty, and privacy.” – Francesca Bria, Professor @ UCL, Lead of EuroStack Initiative [438]</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5">
      <w:pPr>
        <w:rPr/>
      </w:pPr>
      <w:r w:rsidDel="00000000" w:rsidR="00000000" w:rsidRPr="00000000">
        <w:br w:type="page"/>
      </w:r>
      <w:r w:rsidDel="00000000" w:rsidR="00000000" w:rsidRPr="00000000">
        <w:rPr>
          <w:rtl w:val="0"/>
        </w:rPr>
      </w:r>
    </w:p>
    <w:p w:rsidR="00000000" w:rsidDel="00000000" w:rsidP="00000000" w:rsidRDefault="00000000" w:rsidRPr="00000000" w14:paraId="00000016">
      <w:pPr>
        <w:rPr>
          <w:b w:val="1"/>
          <w:color w:val="5b9bd5"/>
          <w:sz w:val="24"/>
          <w:szCs w:val="24"/>
        </w:rPr>
      </w:pPr>
      <w:r w:rsidDel="00000000" w:rsidR="00000000" w:rsidRPr="00000000">
        <w:rPr>
          <w:b w:val="1"/>
          <w:color w:val="5b9bd5"/>
          <w:sz w:val="24"/>
          <w:szCs w:val="24"/>
          <w:rtl w:val="0"/>
        </w:rPr>
        <w:t xml:space="preserve">Open Talent and Knowledge Sharing</w:t>
      </w:r>
      <w:r w:rsidDel="00000000" w:rsidR="00000000" w:rsidRPr="00000000">
        <w:rPr>
          <w:rtl w:val="0"/>
        </w:rPr>
      </w:r>
    </w:p>
    <w:p w:rsidR="00000000" w:rsidDel="00000000" w:rsidP="00000000" w:rsidRDefault="00000000" w:rsidRPr="00000000" w14:paraId="00000017">
      <w:pPr>
        <w:spacing w:line="360" w:lineRule="auto"/>
        <w:rPr>
          <w:color w:val="000000"/>
          <w:sz w:val="18"/>
          <w:szCs w:val="18"/>
        </w:rPr>
      </w:pPr>
      <w:r w:rsidDel="00000000" w:rsidR="00000000" w:rsidRPr="00000000">
        <w:rPr>
          <w:color w:val="000000"/>
          <w:sz w:val="18"/>
          <w:szCs w:val="18"/>
          <w:rtl w:val="0"/>
        </w:rPr>
        <w:t xml:space="preserve">Connecting Talent and Skills to Demand via Cross-Company Collaboration</w:t>
      </w:r>
    </w:p>
    <w:p w:rsidR="00000000" w:rsidDel="00000000" w:rsidP="00000000" w:rsidRDefault="00000000" w:rsidRPr="00000000" w14:paraId="00000018">
      <w:pPr>
        <w:rPr/>
      </w:pPr>
      <w:r w:rsidDel="00000000" w:rsidR="00000000" w:rsidRPr="00000000">
        <w:rPr>
          <w:rtl w:val="0"/>
        </w:rPr>
        <w:t>Highly specialized skills are becoming increasingly important for companies to stay competitive [439]. Since these capabilities are rarely in-house and evolve rapidly, finding the right people in a timely manner is challenging [440]. The most significant gaps lie in advanced IT, programming, data analysis, and mathematical skills [441]. Approximately 40% of executives report a shortage of workers capable of working alongside new technologies [441]. This gap is more pronounced in Europe than in the US, with 6 percentage points higher shortages in technological skills and 2 percentage points higher shortages in higher cognitive skills. As a result, firms depend on two sources: external knowledge and external talent.</w:t>
      </w:r>
      <w:r w:rsidDel="00000000" w:rsidR="00000000" w:rsidRPr="00000000">
        <w:rPr>
          <w:b w:val="1"/>
          <w:sz w:val="16"/>
          <w:szCs w:val="16"/>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b w:val="1"/>
          <w:rtl w:val="0"/>
        </w:rPr>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Open talent sharing offers a promising way forward. It is a skills-based model where companies can find, verify, and bring in external experts or teams on demand, either for short tasks like interviews or for embedded roles [440]. Platforms should match demand with supply, allocate work by skills.</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AI can power this shift. By embedding it into recruiting systems, AI can actively scan the market, translate requirements into skills, and quickly surface strong matches, making a skills-first approach viable [442, 443]. However, organizations must protect data privacy and clearly govern IP, ensuring collaboration accelerates delivery without compromising control.</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Quote</w:t>
      </w:r>
      <w:r w:rsidDel="00000000" w:rsidR="00000000" w:rsidRPr="00000000">
        <w:rPr>
          <w:rtl w:val="0"/>
        </w:rPr>
      </w:r>
    </w:p>
    <w:p w:rsidR="00000000" w:rsidDel="00000000" w:rsidP="00000000" w:rsidRDefault="00000000" w:rsidRPr="00000000" w14:paraId="0000001F">
      <w:pPr>
        <w:rPr/>
      </w:pPr>
      <w:sdt>
        <w:sdtPr>
          <w:id w:val="672957676"/>
          <w:tag w:val="goog_rdk_0"/>
        </w:sdtPr>
        <w:sdtContent>
          <w:commentRangeStart w:id="0"/>
        </w:sdtContent>
      </w:sdt>
      <w:r w:rsidDel="00000000" w:rsidR="00000000" w:rsidRPr="00000000">
        <w:rPr>
          <w:rtl w:val="0"/>
        </w:rPr>
        <w:t xml:space="preserve">“In the world of AI, knowledge is detached from talent, revolutionizing how we allocate work, build capabilities, and scale organizations.” – Oliver Schoppe, UVC Partners</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br w:type="page"/>
      </w:r>
      <w:r w:rsidDel="00000000" w:rsidR="00000000" w:rsidRPr="00000000">
        <w:rPr>
          <w:rtl w:val="0"/>
        </w:rPr>
      </w:r>
    </w:p>
    <w:p w:rsidR="00000000" w:rsidDel="00000000" w:rsidP="00000000" w:rsidRDefault="00000000" w:rsidRPr="00000000" w14:paraId="00000022">
      <w:pPr>
        <w:rPr>
          <w:b w:val="1"/>
          <w:color w:val="5b9bd5"/>
          <w:sz w:val="24"/>
          <w:szCs w:val="24"/>
        </w:rPr>
      </w:pPr>
      <w:r w:rsidDel="00000000" w:rsidR="00000000" w:rsidRPr="00000000">
        <w:rPr>
          <w:b w:val="1"/>
          <w:color w:val="5b9bd5"/>
          <w:sz w:val="24"/>
          <w:szCs w:val="24"/>
          <w:rtl w:val="0"/>
        </w:rPr>
        <w:t xml:space="preserve">Unified Digital Payment Infrastructure</w:t>
      </w:r>
    </w:p>
    <w:p w:rsidR="00000000" w:rsidDel="00000000" w:rsidP="00000000" w:rsidRDefault="00000000" w:rsidRPr="00000000" w14:paraId="00000023">
      <w:pPr>
        <w:spacing w:line="360" w:lineRule="auto"/>
        <w:rPr>
          <w:color w:val="000000"/>
          <w:sz w:val="18"/>
          <w:szCs w:val="18"/>
        </w:rPr>
      </w:pPr>
      <w:r w:rsidDel="00000000" w:rsidR="00000000" w:rsidRPr="00000000">
        <w:rPr>
          <w:color w:val="000000"/>
          <w:sz w:val="18"/>
          <w:szCs w:val="18"/>
          <w:rtl w:val="0"/>
        </w:rPr>
        <w:t xml:space="preserve">Building Sovereign, Seamless, and Secure Payment Rails for Europe</w:t>
      </w:r>
    </w:p>
    <w:p w:rsidR="00000000" w:rsidDel="00000000" w:rsidP="00000000" w:rsidRDefault="00000000" w:rsidRPr="00000000" w14:paraId="00000024">
      <w:pPr>
        <w:rPr/>
      </w:pPr>
      <w:r w:rsidDel="00000000" w:rsidR="00000000" w:rsidRPr="00000000">
        <w:rPr>
          <w:rtl w:val="0"/>
        </w:rPr>
        <w:t>Europe’s digital payments landscape consists of fragmented national schemes and a heavy dependence on foreign payment rails, including Visa, Mastercard, PayPal, and Big Tech wallets [444]. This reliance raises costs for businesses and consumers, limits interoperability, adds complexity to cross-border payments, and creates vulnerabilities in cybersecurity and sovereignty [445]. The absence of a unified framework undermines the EU’s ability to build a fully integrated digital economy and weakens its strategic autonomy in critical financial infrastructure [445].</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A Unified Digital Payment System offers the opportunity to consolidate diverse payment methods, such as bank transfers and cards, into a single, secure, and EU-governed framework. In the future, emerging means of payment like stablecoins and the digital euro can also be considered [446]. By treating payments as a digital commons, Europe can enable seamless cross-border transactions and reduce costs by about 510B USD [447]. This would also create trusted rails for public services like welfare and procurement, as well as for private innovation in fintech and embedded finance [448]. Such a system could become the foundation of Europe’s digital sovereignty. It would improve efficiency, transparency, and competitiveness, while also promoting European standards of privacy, trust, and security in the global digital economy [448].</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left"/>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Quote: </w:t>
      </w:r>
    </w:p>
    <w:p w:rsidR="00000000" w:rsidDel="00000000" w:rsidP="00000000" w:rsidRDefault="00000000" w:rsidRPr="00000000" w14:paraId="00000029">
      <w:pPr>
        <w:rPr/>
      </w:pPr>
      <w:r w:rsidDel="00000000" w:rsidR="00000000" w:rsidRPr="00000000">
        <w:rPr>
          <w:rtl w:val="0"/>
        </w:rPr>
        <w:t>"The digital euro project is a crucial step towards enhancing Europe’s payments landscape and safeguarding our monetary sovereignty." – Piero Cipollone, Member of the Executive Board of the ECB [449]</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left"/>
        <w:rPr/>
      </w:pPr>
      <w:r w:rsidDel="00000000" w:rsidR="00000000" w:rsidRPr="00000000">
        <w:rPr>
          <w:rtl w:val="0"/>
        </w:rPr>
      </w:r>
    </w:p>
    <w:p w:rsidR="00000000" w:rsidDel="00000000" w:rsidP="00000000" w:rsidRDefault="00000000" w:rsidRPr="00000000" w14:paraId="0000002C">
      <w:pPr>
        <w:ind w:left="720" w:firstLine="0"/>
        <w:rPr/>
      </w:pPr>
      <w:r w:rsidDel="00000000" w:rsidR="00000000" w:rsidRPr="00000000">
        <w:rPr>
          <w:rtl w:val="0"/>
        </w:rPr>
      </w:r>
    </w:p>
    <w:sectPr>
      <w:headerReference r:id="rId9" w:type="default"/>
      <w:footerReference r:id="rId10" w:type="default"/>
      <w:pgSz w:h="16840" w:w="11900" w:orient="portrait"/>
      <w:pgMar w:bottom="1134" w:top="1417" w:left="1417" w:right="1417"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Jakob Limmer" w:id="0" w:date="2025-09-27T10:53:21Z">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be approved</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2F"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Bdr>
        <w:bottom w:color="000000" w:space="1" w:sz="4" w:val="single"/>
      </w:pBdr>
      <w:tabs>
        <w:tab w:val="left" w:leader="none" w:pos="7795"/>
      </w:tabs>
      <w:rPr/>
    </w:pPr>
    <w:r w:rsidDel="00000000" w:rsidR="00000000" w:rsidRPr="00000000">
      <w:rPr>
        <w:rtl w:val="0"/>
      </w:rPr>
      <w:t xml:space="preserve">Ideation Phase: Team 5; Team Members: Edwin Daniel, Pedro Jinjun Dong, Adil Köken, Estelle Kulow, Amelie Pöhnitzsch</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lang w:val="en-US"/>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lang w:val="en-US"/>
    </w:rPr>
  </w:style>
  <w:style w:type="paragraph" w:styleId="H3Title" w:customStyle="1">
    <w:name w:val="H3 Title"/>
    <w:basedOn w:val="Normal"/>
    <w:qFormat w:val="1"/>
    <w:pPr>
      <w:spacing w:before="240" w:line="360" w:lineRule="auto"/>
    </w:pPr>
    <w:rPr>
      <w:rFonts w:cs="Arial"/>
      <w:b w:val="1"/>
      <w:bCs w:val="1"/>
      <w:color w:val="024ea2"/>
      <w:lang w:val="en-US"/>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color w:val="3c3f42"/>
      <w:sz w:val="15"/>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BGpMXRV76EXwrz0H+jJzCeiKUQ==">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