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b w:val="1"/>
          <w:color w:val="5b9bd5"/>
          <w:sz w:val="24"/>
          <w:szCs w:val="24"/>
          <w:rtl w:val="0"/>
        </w:rPr>
        <w:t xml:space="preserve">Smart </w:t>
      </w:r>
      <w:r w:rsidDel="00000000" w:rsidR="00000000" w:rsidRPr="00000000">
        <w:rPr>
          <w:b w:val="1"/>
          <w:color w:val="5b9bd5"/>
          <w:sz w:val="24"/>
          <w:szCs w:val="24"/>
          <w:rtl w:val="0"/>
        </w:rPr>
        <w:t xml:space="preserve">I</w:t>
      </w:r>
      <w:r w:rsidDel="00000000" w:rsidR="00000000" w:rsidRPr="00000000">
        <w:rPr>
          <w:b w:val="1"/>
          <w:color w:val="5b9bd5"/>
          <w:sz w:val="24"/>
          <w:szCs w:val="24"/>
          <w:rtl w:val="0"/>
        </w:rPr>
        <w:t xml:space="preserve">nfrastructure</w:t>
      </w:r>
      <w:r w:rsidDel="00000000" w:rsidR="00000000" w:rsidRPr="00000000">
        <w:rPr>
          <w:rtl w:val="0"/>
        </w:rPr>
      </w:r>
    </w:p>
    <w:p w:rsidR="00000000" w:rsidDel="00000000" w:rsidP="00000000" w:rsidRDefault="00000000" w:rsidRPr="00000000" w14:paraId="00000002">
      <w:pPr>
        <w:rPr>
          <w:b w:val="1"/>
          <w:color w:val="5b9bd5"/>
          <w:sz w:val="24"/>
          <w:szCs w:val="24"/>
        </w:rPr>
      </w:pPr>
      <w:r w:rsidDel="00000000" w:rsidR="00000000" w:rsidRPr="00000000">
        <w:rPr>
          <w:color w:val="000000"/>
          <w:sz w:val="18"/>
          <w:szCs w:val="18"/>
          <w:rtl w:val="0"/>
        </w:rPr>
        <w:t xml:space="preserve">Strengthening the Backbone of European Digital Sovereignty</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Europe’s digital infrastructure is entering a transformative era. Data centers, mobile networks, and edge devices are increasingly critical to economic competitiveness, innovation, and societal resilience. Yet, this growth brings challenges as well. Data-center electricity demand is set to double by 2030, renewable energy introduces grid volatility, traditional mobile networks remain rigid and incomplete, and cloud-centric AI struggles to meet the latency, privacy, and autonomy needs of emerging applications [328, 329, 330]. Addressing these challenges is essential for a sovereign digital infrastructure while advancing Europe’s green energy and technology leadership.</w:t>
      </w:r>
    </w:p>
    <w:p w:rsidR="00000000" w:rsidDel="00000000" w:rsidP="00000000" w:rsidRDefault="00000000" w:rsidRPr="00000000" w14:paraId="0000000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First, we must reimagine energy consumption. By leveraging data centers as flexible energy assets, we can turn a challenge into a solution. Dynamically shifting computing workloads helps to stabilize power grids and maximize renewables. This capability transforms data centers from energy consumers into active grid partners, creating strategic value beyond their computing function. This approach not only cuts costs but also strengthens the strategic case for European sovereign data centers [331, 332]. Building on this, the next pillar is next-generation connectivity. Resilient, open networks are crucial. Standards like Open RAN and integrated satellite systems promise to close coverage gaps and reduce supplier dependency. This creates a robust foundation for essential services and fosters vital multi-vendor interoperability [333, 334]. Finally, with powerful networks in place, intelligence moves to the edge. By distributing intelligence closer to where the data is generated, Edge AI reduces latency, strengthens privacy protections, and enhances resilience against network disruptions. Edge AI brings processing directly to devices, enabling faster, more private decisions for applications from autonomous vehicles to healthcare. This shift is crucial for meeting the real-world needs of emerging applications while reducing reliance on centralized cloud systems [7, 335].</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Together, these three pillars illustrate a holistic approach to Europe’s smart future: energy-aware, connected, and intelligent infrastructure that enhances operational efficiency, environmental sustainability, and technological sovereignty. For businesses, policy-makers, and researchers, this convergence represents a substantial opportunity to innovate and lead in the next generation of computing and communication technologies.</w:t>
      </w:r>
    </w:p>
    <w:p w:rsidR="00000000" w:rsidDel="00000000" w:rsidP="00000000" w:rsidRDefault="00000000" w:rsidRPr="00000000" w14:paraId="00000006">
      <w:pPr>
        <w:spacing w:after="240" w:before="240" w:lineRule="auto"/>
        <w:rPr>
          <w:b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rPr>
          <w:rFonts w:ascii="Avenir" w:cs="Avenir" w:eastAsia="Avenir" w:hAnsi="Avenir"/>
          <w:b w:val="1"/>
          <w:i w:val="0"/>
          <w:smallCaps w:val="0"/>
          <w:strike w:val="0"/>
          <w:color w:val="5b9bd5"/>
          <w:sz w:val="24"/>
          <w:szCs w:val="24"/>
          <w:u w:val="none"/>
          <w:shd w:fill="auto" w:val="clear"/>
          <w:vertAlign w:val="baseline"/>
        </w:rPr>
      </w:pPr>
      <w:r w:rsidDel="00000000" w:rsidR="00000000" w:rsidRPr="00000000">
        <w:rPr>
          <w:b w:val="1"/>
          <w:color w:val="5b9bd5"/>
          <w:sz w:val="24"/>
          <w:szCs w:val="24"/>
          <w:rtl w:val="0"/>
        </w:rPr>
        <w:t xml:space="preserve">Enabling Smart Energy Consumption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pPr>
      <w:r w:rsidDel="00000000" w:rsidR="00000000" w:rsidRPr="00000000">
        <w:rPr>
          <w:color w:val="000000"/>
          <w:sz w:val="18"/>
          <w:szCs w:val="18"/>
          <w:rtl w:val="0"/>
        </w:rPr>
        <w:t xml:space="preserve">Using the Flexible Energy Demand of Data Centers to Enhance Grid Stability</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Data centers are driving a surge in global electricity demand. They currently consume 1.5% of global power, with consumption expected to double by 2030 [328]. This growth coincides with a critical challenge: renewable energy has made grids more volatile, as solar and wind output fluctuates and spikes with weather patterns. Maintaining grid stability now requires energy consumption that can adapt to these fluctuations. Data centers offer a unique advantage in this regard: unlike traditional industrial loads, computing tasks can be scheduled for specific times or relocated to different sites [331, 336]. This enables demand shifting on a large scale: tasks can be moved to times with higher energy availability or to locations with cheaper or cleaner power [332, 337]. However, steering computational workloads is complex, requiring dynamic allocation of processing capacity across distributed facilities. As electricity costs increasingly dominate datacenter operations, the business case for demand shifting strengthens. With computing power becoming a low-margin commodity, flexible energy consumption will be essential for building cost-competitive sovereign data centers [338]. For Europe, this approach not only enhances the competitiveness of sovereign data centers, but also helps stabilize the power grid and advance the green energy transition.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Quote</w:t>
      </w:r>
    </w:p>
    <w:p w:rsidR="00000000" w:rsidDel="00000000" w:rsidP="00000000" w:rsidRDefault="00000000" w:rsidRPr="00000000" w14:paraId="0000000C">
      <w:pPr>
        <w:rPr/>
      </w:pPr>
      <w:r w:rsidDel="00000000" w:rsidR="00000000" w:rsidRPr="00000000">
        <w:rPr>
          <w:rtl w:val="0"/>
        </w:rPr>
        <w:t>"I think it will be 'common sense knowledge' in just a few years that AI data centers are grid stabilizers. We'd love to do it in more places." - Urs Hölzle, Google Senior Vice President for Technical Infrastructure [339].</w:t>
      </w:r>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0D">
      <w:pPr>
        <w:rPr>
          <w:b w:val="1"/>
          <w:color w:val="5b9bd5"/>
          <w:sz w:val="24"/>
          <w:szCs w:val="24"/>
        </w:rPr>
      </w:pPr>
      <w:r w:rsidDel="00000000" w:rsidR="00000000" w:rsidRPr="00000000">
        <w:rPr>
          <w:b w:val="1"/>
          <w:color w:val="5b9bd5"/>
          <w:sz w:val="24"/>
          <w:szCs w:val="24"/>
          <w:rtl w:val="0"/>
        </w:rPr>
        <w:t xml:space="preserve">Building Next-Generation Connectivity Systems</w:t>
      </w:r>
      <w:r w:rsidDel="00000000" w:rsidR="00000000" w:rsidRPr="00000000">
        <w:rPr>
          <w:rtl w:val="0"/>
        </w:rPr>
      </w:r>
    </w:p>
    <w:p w:rsidR="00000000" w:rsidDel="00000000" w:rsidP="00000000" w:rsidRDefault="00000000" w:rsidRPr="00000000" w14:paraId="0000000E">
      <w:pPr>
        <w:spacing w:line="360" w:lineRule="auto"/>
        <w:rPr/>
      </w:pPr>
      <w:r w:rsidDel="00000000" w:rsidR="00000000" w:rsidRPr="00000000">
        <w:rPr>
          <w:color w:val="000000"/>
          <w:sz w:val="18"/>
          <w:szCs w:val="18"/>
          <w:rtl w:val="0"/>
        </w:rPr>
        <w:t xml:space="preserve">Open, Interoperable Satellite-Terrestrial Networks for Resilient Services</w:t>
      </w: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rtl w:val="0"/>
        </w:rPr>
        <w:t>Mobile networks have traditionally been built as closed systems, with all components coming from a single vendor. Yet, this has slowed innovation and made switching extremely difficult [329]. The Open Radio Access Network (O-RAN), however, is changing this by establishing common standards that allow equipment from different manufacturers to interoperate. This enables network operators to mix and match components and reduce dependence on a single vendor. While global testing centers are validating this interoperability, seamless multi-vendor operation remains challenging [340].</w:t>
      </w:r>
    </w:p>
    <w:p w:rsidR="00000000" w:rsidDel="00000000" w:rsidP="00000000" w:rsidRDefault="00000000" w:rsidRPr="00000000" w14:paraId="00000010">
      <w:pPr>
        <w:spacing w:after="240" w:before="240" w:lineRule="auto"/>
        <w:rPr/>
      </w:pPr>
      <w:r w:rsidDel="00000000" w:rsidR="00000000" w:rsidRPr="00000000">
        <w:rPr>
          <w:rtl w:val="0"/>
        </w:rPr>
        <w:t>Meanwhile, current mobile networks only function where cell towers exist, leaving gaps in rural areas, oceans, and remote regions. New standards from the 3rd Generation Partnership Project enable satellites to connect directly to 5G phones, with broader integration planned [333]. For 6G, the International Telecommunication Union envisions combining ground and satellite networks [341]. Europe's Union Secure Connectivity Programme funds its own satellite constellation to keep connectivity under European control and close coverage gaps [342].</w:t>
      </w:r>
    </w:p>
    <w:p w:rsidR="00000000" w:rsidDel="00000000" w:rsidP="00000000" w:rsidRDefault="00000000" w:rsidRPr="00000000" w14:paraId="00000011">
      <w:pPr>
        <w:spacing w:after="240" w:before="240" w:lineRule="auto"/>
        <w:rPr/>
      </w:pPr>
      <w:r w:rsidDel="00000000" w:rsidR="00000000" w:rsidRPr="00000000">
        <w:rPr>
          <w:rtl w:val="0"/>
        </w:rPr>
        <w:t>However, a simple method to integrate these networks seamlessly is lacking. Many projects succeed in pilots but fail at scale. A shared application layer could turn these standards into reliable services for public safety, transport, maritime, and energy, while reducing reliance on single suppliers [334].</w:t>
      </w:r>
      <w:r w:rsidDel="00000000" w:rsidR="00000000" w:rsidRPr="00000000">
        <w:rPr>
          <w:rtl w:val="0"/>
        </w:rPr>
      </w:r>
      <w:r w:rsidDel="00000000" w:rsidR="00000000" w:rsidRPr="00000000">
        <w:rPr>
          <w:rtl w:val="0"/>
        </w:rPr>
      </w:r>
    </w:p>
    <w:p w:rsidR="00000000" w:rsidDel="00000000" w:rsidP="00000000" w:rsidRDefault="00000000" w:rsidRPr="00000000" w14:paraId="00000012">
      <w:pPr>
        <w:spacing w:after="240" w:before="240" w:lineRule="auto"/>
        <w:rPr/>
      </w:pPr>
      <w:r w:rsidDel="00000000" w:rsidR="00000000" w:rsidRPr="00000000">
        <w:rPr>
          <w:rtl w:val="0"/>
        </w:rPr>
        <w:t xml:space="preserve">Quote</w:t>
      </w:r>
    </w:p>
    <w:p w:rsidR="00000000" w:rsidDel="00000000" w:rsidP="00000000" w:rsidRDefault="00000000" w:rsidRPr="00000000" w14:paraId="00000013">
      <w:pPr>
        <w:spacing w:after="240" w:before="240" w:lineRule="auto"/>
        <w:rPr/>
      </w:pPr>
      <w:r w:rsidDel="00000000" w:rsidR="00000000" w:rsidRPr="00000000">
        <w:rPr>
          <w:rtl w:val="0"/>
        </w:rPr>
        <w:t>“Open RAN is real, performing, and moving forward; there is no way back.” - Dimitris Mavrakis, Senior Research Director at ABI Research [343].</w:t>
      </w:r>
      <w:r w:rsidDel="00000000" w:rsidR="00000000" w:rsidRPr="00000000">
        <w:rPr>
          <w:rtl w:val="0"/>
        </w:rPr>
      </w:r>
    </w:p>
    <w:p w:rsidR="00000000" w:rsidDel="00000000" w:rsidP="00000000" w:rsidRDefault="00000000" w:rsidRPr="00000000" w14:paraId="00000014">
      <w:pPr>
        <w:jc w:val="left"/>
        <w:rPr>
          <w:b w:val="1"/>
          <w:color w:val="5b9bd5"/>
          <w:sz w:val="24"/>
          <w:szCs w:val="24"/>
        </w:rPr>
      </w:pPr>
      <w:r w:rsidDel="00000000" w:rsidR="00000000" w:rsidRPr="00000000">
        <w:br w:type="page"/>
      </w:r>
      <w:r w:rsidDel="00000000" w:rsidR="00000000" w:rsidRPr="00000000">
        <w:rPr>
          <w:b w:val="1"/>
          <w:color w:val="5b9bd5"/>
          <w:sz w:val="24"/>
          <w:szCs w:val="24"/>
          <w:rtl w:val="0"/>
        </w:rPr>
        <w:t xml:space="preserve">Advancing Edge AI Applications</w:t>
      </w:r>
      <w:r w:rsidDel="00000000" w:rsidR="00000000" w:rsidRPr="00000000">
        <w:rPr>
          <w:rtl w:val="0"/>
        </w:rPr>
      </w:r>
    </w:p>
    <w:p w:rsidR="00000000" w:rsidDel="00000000" w:rsidP="00000000" w:rsidRDefault="00000000" w:rsidRPr="00000000" w14:paraId="00000015">
      <w:pPr>
        <w:spacing w:line="360" w:lineRule="auto"/>
        <w:rPr/>
      </w:pPr>
      <w:r w:rsidDel="00000000" w:rsidR="00000000" w:rsidRPr="00000000">
        <w:rPr>
          <w:color w:val="000000"/>
          <w:sz w:val="18"/>
          <w:szCs w:val="18"/>
          <w:rtl w:val="0"/>
        </w:rPr>
        <w:t xml:space="preserve">Enabling Smarter and Private Devices through Edge AI</w:t>
      </w:r>
      <w:r w:rsidDel="00000000" w:rsidR="00000000" w:rsidRPr="00000000">
        <w:rPr>
          <w:rtl w:val="0"/>
        </w:rPr>
      </w:r>
    </w:p>
    <w:p w:rsidR="00000000" w:rsidDel="00000000" w:rsidP="00000000" w:rsidRDefault="00000000" w:rsidRPr="00000000" w14:paraId="00000016">
      <w:pPr>
        <w:spacing w:after="240" w:lineRule="auto"/>
        <w:rPr/>
      </w:pPr>
      <w:r w:rsidDel="00000000" w:rsidR="00000000" w:rsidRPr="00000000">
        <w:rPr>
          <w:rtl w:val="0"/>
        </w:rPr>
        <w:t>Integrating AI in areas like robotics requires a paradigm shift from traditional cloud computing to more responsive and robust solutions. While the cloud offers immense compute power, its inherent latency and bandwidth limitations are critical barriers for real-time applications [330]. Edge computing solves this by moving computation directly to the data source, enabling on-site processing for faster response times and enhanced data protection [7]. In combination with edge hardware becoming more powerful, the market for Edge AI is expected to more than triple by 2030 [344, 345].</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7">
      <w:pPr>
        <w:spacing w:after="240" w:lineRule="auto"/>
        <w:rPr/>
      </w:pPr>
      <w:r w:rsidDel="00000000" w:rsidR="00000000" w:rsidRPr="00000000">
        <w:rPr>
          <w:rtl w:val="0"/>
        </w:rPr>
        <w:t>This development unlocks transformative opportunities across industries. In manufacturing, it enables real-time defect detection on assembly lines, preventing costly production errors. For autonomous vehicles, it facilitates instantaneous decision-making, essential for navigation and safety [346]. In healthcare, it allows for continuous patient monitoring with strict data privacy, as sensitive information never leaves the device [335]. Furthermore, by deploying small, efficient AI models directly on edge hardware, companies can build more intelligent and autonomous products while significantly reducing their dependence on external cloud infrastructure, leading to greater operational resilience and efficiency.</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Quote</w:t>
      </w:r>
    </w:p>
    <w:p w:rsidR="00000000" w:rsidDel="00000000" w:rsidP="00000000" w:rsidRDefault="00000000" w:rsidRPr="00000000" w14:paraId="00000019">
      <w:pPr>
        <w:spacing w:after="240" w:before="240" w:lineRule="auto"/>
        <w:rPr/>
      </w:pPr>
      <w:r w:rsidDel="00000000" w:rsidR="00000000" w:rsidRPr="00000000">
        <w:rPr>
          <w:rtl w:val="0"/>
        </w:rPr>
        <w:t>"This is going to be the decade of autonomous vehicles, robotics, and autonomous machines." - Jensen Huang, CEO of Nvidia [347].</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1A">
      <w:pPr>
        <w:spacing w:after="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Title"/>
        <w:spacing w:after="240" w:lineRule="auto"/>
        <w:rPr/>
      </w:pPr>
      <w:bookmarkStart w:colFirst="0" w:colLast="0" w:name="_heading=h.7ljhxefxsoqh" w:id="0"/>
      <w:bookmarkEnd w:id="0"/>
      <w:r w:rsidDel="00000000" w:rsidR="00000000" w:rsidRPr="00000000">
        <w:rPr>
          <w:rtl w:val="0"/>
        </w:rPr>
        <w:t xml:space="preserve">BACKUP ONLY FOR NOW</w:t>
      </w:r>
    </w:p>
    <w:p w:rsidR="00000000" w:rsidDel="00000000" w:rsidP="00000000" w:rsidRDefault="00000000" w:rsidRPr="00000000" w14:paraId="0000001C">
      <w:pPr>
        <w:spacing w:after="240" w:lineRule="auto"/>
        <w:rPr/>
      </w:pPr>
      <w:r w:rsidDel="00000000" w:rsidR="00000000" w:rsidRPr="00000000">
        <w:rPr>
          <w:rtl w:val="0"/>
        </w:rPr>
        <w:t xml:space="preserve">Smart devices, including modern Internet of Things (IoT) devices, rely on complex AI models that demand substantial computing power. Traditionally, cloud-based AI has been employed for this; however, this approach introduces challenges such as bandwidth constraints, increased latency, and the exposure of sensitive data across networks [1]. Edge Computing (EC) offers a paradigm shift by relocating computation closer to the data source. Processing and analyzing data on-site reduces latency, alleviates network load, and allows sensitive information to remain local [2]. When combined with AI inference at the edge, EC enables real-time applications such as autonomous driving and enhances devices in the private and industrial sector.[3]. The global edge AI market was valued at USD 20.78 billion in 2024 and is forecasted to grow to USD 66.47 billion by 2030 [4]. A recent example underlining the opportunity of Edge AI is the deployment of Small Language Models at the edge, as highlighted by NVIDIA. [5] It explains how Edge AI can transform applications to become both more private and smarter.</w:t>
      </w:r>
    </w:p>
    <w:p w:rsidR="00000000" w:rsidDel="00000000" w:rsidP="00000000" w:rsidRDefault="00000000" w:rsidRPr="00000000" w14:paraId="0000001D">
      <w:pPr>
        <w:spacing w:after="240" w:before="240" w:lineRule="auto"/>
        <w:rPr/>
      </w:pPr>
      <w:sdt>
        <w:sdtPr>
          <w:id w:val="-503730383"/>
          <w:tag w:val="goog_rdk_0"/>
        </w:sdtPr>
        <w:sdtContent>
          <w:commentRangeStart w:id="0"/>
        </w:sdtContent>
      </w:sdt>
      <w:r w:rsidDel="00000000" w:rsidR="00000000" w:rsidRPr="00000000">
        <w:rPr>
          <w:rtl w:val="0"/>
        </w:rPr>
        <w:t xml:space="preserve">“[...] we think that the ability to do AI at the edge is going to be transformative.” - Cristiano Amon, CEO of Qualcomm [6]</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[9] Jensen Huang, CEO Nvidia, Today Magazine. (2025, June 25). The rise of robotics: Nvidia's 2025 prediction. </w:t>
      </w:r>
      <w:hyperlink r:id="rId9">
        <w:r w:rsidDel="00000000" w:rsidR="00000000" w:rsidRPr="00000000">
          <w:rPr>
            <w:color w:val="1155cc"/>
            <w:u w:val="single"/>
            <w:rtl w:val="0"/>
          </w:rPr>
          <w:t xml:space="preserve">https://www.ceotodaymagazine.com/2025/06/the-robot-decade-nvidia-ceo-declares-ai-driven-machines-will-rule-the-2020s/</w:t>
        </w:r>
      </w:hyperlink>
      <w:r w:rsidDel="00000000" w:rsidR="00000000" w:rsidRPr="00000000">
        <w:rPr>
          <w:rtl w:val="0"/>
        </w:rPr>
      </w:r>
    </w:p>
    <w:p w:rsidR="00000000" w:rsidDel="00000000" w:rsidP="00000000" w:rsidRDefault="00000000" w:rsidRPr="00000000" w14:paraId="0000001F">
      <w:pPr>
        <w:spacing w:after="240" w:before="240" w:lineRule="auto"/>
        <w:rPr/>
      </w:pPr>
      <w:r w:rsidDel="00000000" w:rsidR="00000000" w:rsidRPr="00000000">
        <w:rPr>
          <w:rtl w:val="0"/>
        </w:rPr>
        <w:t xml:space="preserve">[8] Top 10 Edge AI Hardware for 2025 - Jaycon | Product Design, PCB &amp; Injection Molding. (2025, May 15). Jaycon. https://www.jaycon.com/top-10-edge-ai-hardware-for-2025/</w:t>
      </w:r>
    </w:p>
    <w:p w:rsidR="00000000" w:rsidDel="00000000" w:rsidP="00000000" w:rsidRDefault="00000000" w:rsidRPr="00000000" w14:paraId="00000020">
      <w:pPr>
        <w:spacing w:after="240" w:before="240" w:lineRule="auto"/>
        <w:rPr/>
      </w:pPr>
      <w:r w:rsidDel="00000000" w:rsidR="00000000" w:rsidRPr="00000000">
        <w:rPr>
          <w:rtl w:val="0"/>
        </w:rPr>
        <w:t xml:space="preserve">[7] Wilson, D. (2025, July 16). Edge AI Applications: Revolutionizing Industries with AI. Autonomous; Autonomous. https://www.autonomous.ai/ourblog/edge-ai-applications</w:t>
      </w:r>
    </w:p>
    <w:p w:rsidR="00000000" w:rsidDel="00000000" w:rsidP="00000000" w:rsidRDefault="00000000" w:rsidRPr="00000000" w14:paraId="00000021">
      <w:pPr>
        <w:spacing w:after="240" w:before="240" w:lineRule="auto"/>
        <w:rPr/>
      </w:pPr>
      <w:r w:rsidDel="00000000" w:rsidR="00000000" w:rsidRPr="00000000">
        <w:rPr>
          <w:rtl w:val="0"/>
        </w:rPr>
        <w:t xml:space="preserve">[1] Sun, K., Wang, X., Miao, X., &amp; Zhao, Q. (2024). A review of AI edge devices and lightweight CNN deployment. Neurocomputing, 614, 128791. </w:t>
      </w:r>
      <w:hyperlink r:id="rId10">
        <w:r w:rsidDel="00000000" w:rsidR="00000000" w:rsidRPr="00000000">
          <w:rPr>
            <w:color w:val="1155cc"/>
            <w:u w:val="single"/>
            <w:rtl w:val="0"/>
          </w:rPr>
          <w:t xml:space="preserve">https://doi.org/10.1016/j.neucom.2024.128791</w:t>
        </w:r>
      </w:hyperlink>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rPr>
          <w:rtl w:val="0"/>
        </w:rPr>
        <w:t xml:space="preserve">[2] Karami, A., &amp; Karami, M. (2025). Edge computing in big data: challenges and benefits. International Journal of Data Science and Analytics. </w:t>
      </w:r>
      <w:hyperlink r:id="rId11">
        <w:r w:rsidDel="00000000" w:rsidR="00000000" w:rsidRPr="00000000">
          <w:rPr>
            <w:color w:val="1155cc"/>
            <w:u w:val="single"/>
            <w:rtl w:val="0"/>
          </w:rPr>
          <w:t xml:space="preserve">https://doi.org/10.1007/s41060-025-00855-3</w:t>
        </w:r>
      </w:hyperlink>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rtl w:val="0"/>
        </w:rPr>
        <w:t xml:space="preserve">[3] Edge AI: A Taxonomy, Systematic review and Future Directions. (n.d.). </w:t>
      </w:r>
      <w:hyperlink r:id="rId12">
        <w:r w:rsidDel="00000000" w:rsidR="00000000" w:rsidRPr="00000000">
          <w:rPr>
            <w:color w:val="1155cc"/>
            <w:u w:val="single"/>
            <w:rtl w:val="0"/>
          </w:rPr>
          <w:t xml:space="preserve">https://rdcu.be/eDhMu</w:t>
        </w:r>
      </w:hyperlink>
      <w:r w:rsidDel="00000000" w:rsidR="00000000" w:rsidRPr="00000000">
        <w:rPr>
          <w:rtl w:val="0"/>
        </w:rPr>
        <w:t xml:space="preserve"> </w:t>
      </w:r>
    </w:p>
    <w:p w:rsidR="00000000" w:rsidDel="00000000" w:rsidP="00000000" w:rsidRDefault="00000000" w:rsidRPr="00000000" w14:paraId="00000024">
      <w:pPr>
        <w:spacing w:after="240" w:before="240" w:lineRule="auto"/>
        <w:jc w:val="left"/>
        <w:rPr/>
      </w:pPr>
      <w:r w:rsidDel="00000000" w:rsidR="00000000" w:rsidRPr="00000000">
        <w:rPr>
          <w:rtl w:val="0"/>
        </w:rPr>
        <w:t xml:space="preserve">[4] Edge AI Market Size, Share &amp; Growth | Industry Report, 2030. (n.d.). </w:t>
      </w:r>
      <w:hyperlink r:id="rId13">
        <w:r w:rsidDel="00000000" w:rsidR="00000000" w:rsidRPr="00000000">
          <w:rPr>
            <w:color w:val="1155cc"/>
            <w:u w:val="single"/>
            <w:rtl w:val="0"/>
          </w:rPr>
          <w:t xml:space="preserve">https://www.grandviewresearch.com/industry-analysis/edge-ai-market-report</w:t>
        </w:r>
      </w:hyperlink>
      <w:r w:rsidDel="00000000" w:rsidR="00000000" w:rsidRPr="00000000">
        <w:rPr>
          <w:rtl w:val="0"/>
        </w:rPr>
      </w:r>
    </w:p>
    <w:p w:rsidR="00000000" w:rsidDel="00000000" w:rsidP="00000000" w:rsidRDefault="00000000" w:rsidRPr="00000000" w14:paraId="00000025">
      <w:pPr>
        <w:spacing w:after="240" w:before="240" w:lineRule="auto"/>
        <w:jc w:val="left"/>
        <w:rPr/>
      </w:pPr>
      <w:r w:rsidDel="00000000" w:rsidR="00000000" w:rsidRPr="00000000">
        <w:rPr>
          <w:rtl w:val="0"/>
        </w:rPr>
        <w:t xml:space="preserve">[5] Belcak, P., Heinrich, G., Diao, S., Fu, Y., Dong, X., Muralidharan, S., Lin, Y. C., &amp; Molchanov, P. (2025, June 2). Small Language Models are the Future of Agentic AI. arXiv.org. </w:t>
      </w:r>
      <w:hyperlink r:id="rId14">
        <w:r w:rsidDel="00000000" w:rsidR="00000000" w:rsidRPr="00000000">
          <w:rPr>
            <w:color w:val="1155cc"/>
            <w:u w:val="single"/>
            <w:rtl w:val="0"/>
          </w:rPr>
          <w:t xml:space="preserve">https://arxiv.org/abs/2506.02153</w:t>
        </w:r>
      </w:hyperlink>
      <w:r w:rsidDel="00000000" w:rsidR="00000000" w:rsidRPr="00000000">
        <w:rPr>
          <w:rtl w:val="0"/>
        </w:rPr>
      </w:r>
    </w:p>
    <w:p w:rsidR="00000000" w:rsidDel="00000000" w:rsidP="00000000" w:rsidRDefault="00000000" w:rsidRPr="00000000" w14:paraId="00000026">
      <w:pPr>
        <w:spacing w:after="240" w:before="240" w:lineRule="auto"/>
        <w:jc w:val="left"/>
        <w:rPr/>
      </w:pPr>
      <w:r w:rsidDel="00000000" w:rsidR="00000000" w:rsidRPr="00000000">
        <w:rPr>
          <w:rtl w:val="0"/>
        </w:rPr>
        <w:t xml:space="preserve">[6] Newman, D. (2025, January 24). The View from Davos with Qualcomm’s Cristiano Amon - Futurum. Futurum. </w:t>
      </w:r>
      <w:hyperlink r:id="rId15">
        <w:r w:rsidDel="00000000" w:rsidR="00000000" w:rsidRPr="00000000">
          <w:rPr>
            <w:color w:val="1155cc"/>
            <w:u w:val="single"/>
            <w:rtl w:val="0"/>
          </w:rPr>
          <w:t xml:space="preserve">https://futurumgroup.com/insights/the-view-from-davos-with-qualcomms-cristiano-amon/</w:t>
        </w:r>
      </w:hyperlink>
      <w:r w:rsidDel="00000000" w:rsidR="00000000" w:rsidRPr="00000000">
        <w:rPr>
          <w:rtl w:val="0"/>
        </w:rPr>
      </w:r>
    </w:p>
    <w:p w:rsidR="00000000" w:rsidDel="00000000" w:rsidP="00000000" w:rsidRDefault="00000000" w:rsidRPr="00000000" w14:paraId="00000027">
      <w:pPr>
        <w:spacing w:after="240" w:before="240" w:lineRule="auto"/>
        <w:jc w:val="left"/>
        <w:rPr/>
      </w:pPr>
      <w:r w:rsidDel="00000000" w:rsidR="00000000" w:rsidRPr="00000000">
        <w:rPr>
          <w:rtl w:val="0"/>
        </w:rPr>
      </w:r>
    </w:p>
    <w:p w:rsidR="00000000" w:rsidDel="00000000" w:rsidP="00000000" w:rsidRDefault="00000000" w:rsidRPr="00000000" w14:paraId="00000028">
      <w:pPr>
        <w:spacing w:after="240" w:before="240" w:lineRule="auto"/>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headerReference r:id="rId16" w:type="default"/>
      <w:footerReference r:id="rId17" w:type="default"/>
      <w:pgSz w:h="16840" w:w="11900" w:orient="portrait"/>
      <w:pgMar w:bottom="1134"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iklas Remiger" w:id="0" w:date="2025-09-27T14:31:35Z">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initial [...] annoying to quote? just bodge it and omit?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bottom w:color="000000" w:space="1" w:sz="4" w:val="single"/>
      </w:pBdr>
      <w:tabs>
        <w:tab w:val="left" w:leader="none" w:pos="7795"/>
      </w:tabs>
      <w:rPr/>
    </w:pPr>
    <w:r w:rsidDel="00000000" w:rsidR="00000000" w:rsidRPr="00000000">
      <w:rPr>
        <w:rtl w:val="0"/>
      </w:rPr>
      <w:t xml:space="preserve">Exploration Phase: Team 1 Team Members: Adrian Stoica, Andriani Nikolaou, Gjergj Kukaj, Karolina Wick, Malte Oberhoff, Charlotte Schöllkopf</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1007/s41060-025-00855-3" TargetMode="External"/><Relationship Id="rId10" Type="http://schemas.openxmlformats.org/officeDocument/2006/relationships/hyperlink" Target="https://doi.org/10.1016/j.neucom.2024.128791" TargetMode="External"/><Relationship Id="rId13" Type="http://schemas.openxmlformats.org/officeDocument/2006/relationships/hyperlink" Target="https://www.grandviewresearch.com/industry-analysis/edge-ai-market-report" TargetMode="External"/><Relationship Id="rId12" Type="http://schemas.openxmlformats.org/officeDocument/2006/relationships/hyperlink" Target="https://rdcu.be/eDhMu"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ceotodaymagazine.com/2025/06/the-robot-decade-nvidia-ceo-declares-ai-driven-machines-will-rule-the-2020s/" TargetMode="External"/><Relationship Id="rId15" Type="http://schemas.openxmlformats.org/officeDocument/2006/relationships/hyperlink" Target="https://futurumgroup.com/insights/the-view-from-davos-with-qualcomms-cristiano-amon/" TargetMode="External"/><Relationship Id="rId14" Type="http://schemas.openxmlformats.org/officeDocument/2006/relationships/hyperlink" Target="https://arxiv.org/abs/2506.02153"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KC32j6iDmdIYa11H/WBfVfPjg==">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