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2635F" w:rsidRDefault="00000000">
      <w:pPr>
        <w:pStyle w:val="Heading1"/>
        <w:spacing w:before="240" w:after="240"/>
        <w:jc w:val="left"/>
      </w:pPr>
      <w:bookmarkStart w:id="0" w:name="_dgdablw6ph0c" w:colFirst="0" w:colLast="0"/>
      <w:bookmarkEnd w:id="0"/>
      <w:r>
        <w:t>Legal Foundations of EU Digital Sovereignty</w:t>
      </w:r>
    </w:p>
    <w:p w14:paraId="00000002" w14:textId="77777777" w:rsidR="00D2635F" w:rsidRDefault="00000000">
      <w:pPr>
        <w:spacing w:before="240" w:after="240" w:line="360" w:lineRule="auto"/>
        <w:rPr>
          <w:b/>
          <w:color w:val="FF0000"/>
        </w:rPr>
      </w:pPr>
      <w:r>
        <w:rPr>
          <w:b/>
          <w:color w:val="000000"/>
          <w:sz w:val="18"/>
          <w:szCs w:val="18"/>
        </w:rPr>
        <w:t>Securing Europe’s Digital Future Through Unified and Strategic Legal Frameworks</w:t>
      </w:r>
    </w:p>
    <w:p w14:paraId="00000003" w14:textId="77777777" w:rsidR="00D2635F" w:rsidRDefault="00000000">
      <w:pPr>
        <w:spacing w:before="120" w:after="120"/>
      </w:pPr>
      <w:r>
        <w:t>Europe’s digital economy has long thrived on openness and global interdependence. It has relied on US cloud platforms to host its corporate data [22], Taiwanese factories to produce its advanced semiconductors [138], and US payment networks to facilitate its online commerce [139]. Yet recent geopolitical conflicts, supply chain disruptions, and the weaponization of technology have exposed deep vulnerabilities [140]. This has shifted the perception of reliance on foreign suppliers from an economic concern to a matter of strategic security External laws, such as the US CLOUD Act, can still reach into data stored inside Europe, demonstrating that mere geographic residency does not guarantee control [141].</w:t>
      </w:r>
    </w:p>
    <w:p w14:paraId="00000004" w14:textId="77777777" w:rsidR="00D2635F" w:rsidRDefault="00000000">
      <w:pPr>
        <w:spacing w:before="120" w:after="120"/>
      </w:pPr>
      <w:r>
        <w:t>These risks are amplified by Europe’s historical fragmentation. With 27 national rulebooks and uneven enforcement, the continent struggles to respond quickly to cyber incidents, coordinate semiconductor supply, or enforce citizen data protection against foreign jurisdictions [142, 143, 144]. The result is a patchwork of regulations and initiatives that leaves Europe slow to react to cross-border crises and poorly positioned to build global tech champions.</w:t>
      </w:r>
    </w:p>
    <w:p w14:paraId="00000005" w14:textId="77777777" w:rsidR="00D2635F" w:rsidRDefault="00000000">
      <w:pPr>
        <w:spacing w:before="120" w:after="120"/>
      </w:pPr>
      <w:r>
        <w:t>In response, the EU is reorienting law and regulation from defensive safeguards into instruments of strategic power, using access to its vast single market as leverage to globalize European standards. Instead of letting foreign providers and frameworks dictate terms, Europe seeks to define its own digital future. Initiatives like the European Digital Decade set measurable 2030 targets [145], while regulatory frameworks such as the GDPR, DMA, DSA, and the Data Act establish a single rulebook for the single market. These measures aim to protect citizens, secure infrastructure, and enhance Europe’s ability to influence global technology governance.</w:t>
      </w:r>
    </w:p>
    <w:p w14:paraId="00000006" w14:textId="77777777" w:rsidR="00D2635F" w:rsidRDefault="00000000">
      <w:pPr>
        <w:spacing w:before="120" w:after="120"/>
      </w:pPr>
      <w:r>
        <w:t>This pursuit of digital sovereignty is taking shape through five concrete legal and governance shifts: pooling crisis response and governance across Member States [143, 146], steering data flows to protect information from foreign jurisdictions [147, 148], accelerating policy efforts to close the gap with the US and China [149], building sovereign digital currencies and payment systems [150, 151], and reconciling civilian and military regulation to unlock dual-use innovation [152]. Together, these shifts mark a legal strategy designed not just to regulate markets, but to build Europe’s resilience and influence in the digital age.</w:t>
      </w:r>
    </w:p>
    <w:p w14:paraId="00000007" w14:textId="77777777" w:rsidR="00D2635F" w:rsidRDefault="00000000">
      <w:pPr>
        <w:spacing w:before="120" w:after="120"/>
      </w:pPr>
      <w:r>
        <w:t>Europe’s ability to translate regulation into operational strength will determine whether it can cultivate a competitive, trustworthy digital market. Success would allow the EU to protect its citizens and values while shaping global norms and standards. The EU can set the foundation to catch up in key technologies like AI while building on its current head start in other areas like post-quantum cybersecurity. Failure, by contrast, risks keeping Europe dependent on external providers and reactive in a world where technological control is increasingly synonymous with strategic power.</w:t>
      </w:r>
    </w:p>
    <w:p w14:paraId="00000008" w14:textId="77777777" w:rsidR="00D2635F" w:rsidRDefault="00D2635F">
      <w:pPr>
        <w:spacing w:before="240" w:after="240" w:line="360" w:lineRule="auto"/>
      </w:pPr>
    </w:p>
    <w:p w14:paraId="00000009" w14:textId="77777777" w:rsidR="00D2635F" w:rsidRDefault="00000000">
      <w:pPr>
        <w:spacing w:before="120" w:after="120"/>
      </w:pPr>
      <w:r>
        <w:br w:type="page"/>
      </w:r>
    </w:p>
    <w:p w14:paraId="0000000A" w14:textId="77777777" w:rsidR="00D2635F" w:rsidRDefault="00000000">
      <w:pPr>
        <w:pStyle w:val="Heading1"/>
        <w:numPr>
          <w:ilvl w:val="0"/>
          <w:numId w:val="6"/>
        </w:numPr>
        <w:rPr>
          <w:b w:val="0"/>
        </w:rPr>
      </w:pPr>
      <w:bookmarkStart w:id="1" w:name="_3wspyl797h6b" w:colFirst="0" w:colLast="0"/>
      <w:bookmarkEnd w:id="1"/>
      <w:r>
        <w:rPr>
          <w:b w:val="0"/>
        </w:rPr>
        <w:lastRenderedPageBreak/>
        <w:t>Pooling European Governance</w:t>
      </w:r>
    </w:p>
    <w:p w14:paraId="0000000B" w14:textId="77777777" w:rsidR="00D2635F" w:rsidRDefault="00000000">
      <w:pPr>
        <w:pStyle w:val="Heading2"/>
      </w:pPr>
      <w:bookmarkStart w:id="2" w:name="_ly85b4tccbnk" w:colFirst="0" w:colLast="0"/>
      <w:bookmarkEnd w:id="2"/>
      <w:r>
        <w:t>Advancing Europe’s Move Toward Unified and Centralized Digital Governance</w:t>
      </w:r>
    </w:p>
    <w:p w14:paraId="0000000C" w14:textId="77777777" w:rsidR="00D2635F" w:rsidRDefault="00000000">
      <w:pPr>
        <w:spacing w:before="120" w:after="120"/>
      </w:pPr>
      <w:r>
        <w:t>Europe faces pressing digital risks, including cyber incidents, semiconductor shortages, and cross-border sabotage. These threats rarely stop at national borders. Relying on 27 individual member state responses is no longer tenable. Such fragmentation slows reaction times and weakens protection. To address these risks, the EU is shifting toward pooled governance and unified action, enabling rapid, coordinated responses rather than isolated national efforts. As part of this shift, the EU has established central coordination bodies, including the European Cybersecurity Competence Centre (ECCC), the European Cyber Crisis Liaison Organisation Network (EU-CyCLONe), and the European Semiconductor Board, to strengthen research coordination, manage large-scale incident response, and align industrial strategy across member states. Additionally, a single rulebook was introduced, comprising the GDPR, DMA, DSA, and the Data Act, to replace differing national laws. These efforts aim to turn political agreements into cross-border action, but their success depends on the quick and uniform enforcement by Member States. Collectively, these steps move Europe closer to a future of reduced fragmentation and greater coherence in digital policy across the single market [143, 146, 153].</w:t>
      </w:r>
      <w:proofErr w:type="spellStart"/>
      <w:r/>
      <w:proofErr w:type="spellEnd"/>
      <w:r/>
      <w:proofErr w:type="spellStart"/>
      <w:r/>
      <w:proofErr w:type="spellEnd"/>
      <w:r/>
    </w:p>
    <w:p w14:paraId="0000000D" w14:textId="77777777" w:rsidR="00D2635F" w:rsidRDefault="00000000">
      <w:pPr>
        <w:pStyle w:val="Heading3"/>
      </w:pPr>
      <w:bookmarkStart w:id="3" w:name="_gwh082o3exku" w:colFirst="0" w:colLast="0"/>
      <w:bookmarkEnd w:id="3"/>
      <w:r>
        <w:t>Facts</w:t>
      </w:r>
    </w:p>
    <w:p w14:paraId="0000000E" w14:textId="77777777" w:rsidR="00D2635F" w:rsidRDefault="00000000">
      <w:pPr>
        <w:numPr>
          <w:ilvl w:val="0"/>
          <w:numId w:val="2"/>
        </w:numPr>
      </w:pPr>
      <w:r>
        <w:t>By February 2025, the EU had imposed 2,394 GDPR fines, up 302 from the previous year, with an average fine of 2.36M EUR since 2018 [154].</w:t>
      </w:r>
    </w:p>
    <w:p w14:paraId="0000000F" w14:textId="77777777" w:rsidR="00D2635F" w:rsidRDefault="00000000">
      <w:pPr>
        <w:numPr>
          <w:ilvl w:val="0"/>
          <w:numId w:val="2"/>
        </w:numPr>
      </w:pPr>
      <w:r>
        <w:t>In 2023, 66% of EU firms viewed regulation as an obstacle to investment, compared to 21% in the US, underscoring the potential for uniform rules and convergent enforcement [142].</w:t>
      </w:r>
    </w:p>
    <w:p w14:paraId="00000010" w14:textId="77777777" w:rsidR="00D2635F" w:rsidRDefault="00000000">
      <w:pPr>
        <w:numPr>
          <w:ilvl w:val="0"/>
          <w:numId w:val="2"/>
        </w:numPr>
      </w:pPr>
      <w:r>
        <w:t>The EU-INC proposes a single EU-wide company framework. This new legal form would sit alongside existing national systems and provide one standardized option for businesses operating across borders, unifying rules for stock options and company structures [155, 156].</w:t>
      </w:r>
    </w:p>
    <w:p w14:paraId="00000011" w14:textId="77777777" w:rsidR="00D2635F" w:rsidRDefault="00000000">
      <w:pPr>
        <w:pStyle w:val="Heading3"/>
      </w:pPr>
      <w:bookmarkStart w:id="4" w:name="_93ixmrf59szc" w:colFirst="0" w:colLast="0"/>
      <w:bookmarkEnd w:id="4"/>
      <w:r>
        <w:t>Key Drivers</w:t>
      </w:r>
    </w:p>
    <w:p w14:paraId="00000012" w14:textId="77777777" w:rsidR="00D2635F" w:rsidRDefault="00000000">
      <w:pPr>
        <w:numPr>
          <w:ilvl w:val="0"/>
          <w:numId w:val="2"/>
        </w:numPr>
      </w:pPr>
      <w:r>
        <w:t>Recent geopolitical shocks, such as pipeline sabotage and chip shortages, exposed Europe’s vulnerability and dependence on external suppliers. This increased the need for shared monitoring and joint crisis-response capacity [157, 158].</w:t>
      </w:r>
    </w:p>
    <w:p w14:paraId="00000013" w14:textId="77777777" w:rsidR="00D2635F" w:rsidRDefault="00000000">
      <w:pPr>
        <w:numPr>
          <w:ilvl w:val="0"/>
          <w:numId w:val="2"/>
        </w:numPr>
      </w:pPr>
      <w:r>
        <w:t xml:space="preserve">Centralized monitoring and shared threat intelligence create economies of scale. This EU-wide strategy, advanced through initiatives like the European Cybersecurity Alert System, is fundamentally designed so that each participating member state strengthens the collective detection coverage and cyber resilience for all [159]. </w:t>
      </w:r>
    </w:p>
    <w:p w14:paraId="00000014" w14:textId="77777777" w:rsidR="00D2635F" w:rsidRDefault="00000000">
      <w:pPr>
        <w:numPr>
          <w:ilvl w:val="0"/>
          <w:numId w:val="2"/>
        </w:numPr>
      </w:pPr>
      <w:r>
        <w:t>Companies are calling for unified regulations across the European Single Market to minimize the need for multiple compliance adjustments when entering different national markets [160].</w:t>
      </w:r>
    </w:p>
    <w:p w14:paraId="00000015" w14:textId="77777777" w:rsidR="00D2635F" w:rsidRDefault="00000000">
      <w:pPr>
        <w:pStyle w:val="Heading3"/>
      </w:pPr>
      <w:bookmarkStart w:id="5" w:name="_guyfwjt3d7lo" w:colFirst="0" w:colLast="0"/>
      <w:bookmarkEnd w:id="5"/>
      <w:r>
        <w:t>Challenges</w:t>
      </w:r>
    </w:p>
    <w:p w14:paraId="00000016" w14:textId="77777777" w:rsidR="00D2635F" w:rsidRDefault="00000000">
      <w:pPr>
        <w:numPr>
          <w:ilvl w:val="0"/>
          <w:numId w:val="2"/>
        </w:numPr>
      </w:pPr>
      <w:r>
        <w:t>Unequal national enforcement of rules and laws lets companies exploit regulatory gaps. In response, the European Data Protection Board (EDPB) is launching new guidelines and streamlined procedures to align enforcement across the Union [161].</w:t>
      </w:r>
    </w:p>
    <w:p w14:paraId="00000017" w14:textId="77777777" w:rsidR="00D2635F" w:rsidRDefault="00000000">
      <w:pPr>
        <w:numPr>
          <w:ilvl w:val="0"/>
          <w:numId w:val="2"/>
        </w:numPr>
      </w:pPr>
      <w:r>
        <w:t>Disagreements over how much control should remain with individual countries slow EU decision-making. For instance, the NIS2 directive, designed to elevate cybersecurity standards across the EU, had not been fully adopted by nearly half of the member states in mid-2025, delaying its uniform implementation [144].</w:t>
      </w:r>
    </w:p>
    <w:p w14:paraId="00000018" w14:textId="77777777" w:rsidR="00D2635F" w:rsidRDefault="00000000">
      <w:pPr>
        <w:numPr>
          <w:ilvl w:val="0"/>
          <w:numId w:val="2"/>
        </w:numPr>
      </w:pPr>
      <w:r>
        <w:t>A single rulebook may oversimplify specialized industries, while optional frameworks risk low uptake and limited impact [162].</w:t>
      </w:r>
    </w:p>
    <w:p w14:paraId="00000019" w14:textId="77777777" w:rsidR="00D2635F" w:rsidRDefault="00000000">
      <w:pPr>
        <w:pStyle w:val="Heading3"/>
      </w:pPr>
      <w:bookmarkStart w:id="6" w:name="_ddaobi9s1mdq" w:colFirst="0" w:colLast="0"/>
      <w:bookmarkEnd w:id="6"/>
      <w:r>
        <w:t>Impact on Digital Sovereignty in Europe</w:t>
      </w:r>
    </w:p>
    <w:p w14:paraId="0000001A" w14:textId="77777777" w:rsidR="00D2635F" w:rsidRDefault="00000000">
      <w:pPr>
        <w:spacing w:before="120" w:after="120"/>
      </w:pPr>
      <w:r>
        <w:t>Pooling governance is about more than streamlining regulations: it fundamentally reshapes Europe’s position within the global digital landscape. More consistent law enforcement reduces uncertainty for firms and could make the EU a more attractive hub for scaling high-tech businesses. Additionally, through coordinated crisis response, Europe can significantly enhance its infrastructure resilience. At the geopolitical level, stronger coordination would strengthen Europe’s influence in international standard-setting, enabling it to reduce dependencies on US and Chinese frameworks. Ultimately, the fundamental lever lies less in individual regulations and more in the EU’s ability to translate pooled governance into concrete sovereignty gains [163].</w:t>
      </w:r>
      <w:r/>
    </w:p>
    <w:p w14:paraId="0000001B" w14:textId="77777777" w:rsidR="00D2635F" w:rsidRDefault="00000000">
      <w:pPr>
        <w:pStyle w:val="Heading1"/>
        <w:rPr>
          <w:b w:val="0"/>
        </w:rPr>
      </w:pPr>
      <w:bookmarkStart w:id="7" w:name="_ahejnaobewr" w:colFirst="0" w:colLast="0"/>
      <w:bookmarkEnd w:id="7"/>
      <w:r>
        <w:rPr>
          <w:b w:val="0"/>
        </w:rPr>
        <w:lastRenderedPageBreak/>
        <w:t>2. Steering Data Processing</w:t>
      </w:r>
    </w:p>
    <w:p w14:paraId="0000001C" w14:textId="77777777" w:rsidR="00D2635F" w:rsidRDefault="00000000">
      <w:pPr>
        <w:pStyle w:val="Heading2"/>
      </w:pPr>
      <w:bookmarkStart w:id="8" w:name="_ks7fbvpghf87" w:colFirst="0" w:colLast="0"/>
      <w:bookmarkEnd w:id="8"/>
      <w:r>
        <w:t>Securing Data Flows to Strengthen Europe’s Digital Sovereignty</w:t>
      </w:r>
    </w:p>
    <w:p w14:paraId="0000001D" w14:textId="77777777" w:rsidR="00D2635F" w:rsidRDefault="00000000">
      <w:pPr>
        <w:spacing w:before="120" w:after="120"/>
      </w:pPr>
      <w:r>
        <w:t>Data steering is the strategic management and control of data flows, storage, and processing. It extends beyond storing data within a jurisdiction and actively directs how and where data is moved to comply with regulatory, privacy, and security requirements. Technically, it involves routing control systems that restrict data to approved locations and secure infrastructure, ensuring both legal and operational control. European frameworks, such as the AI Act or the Digital Operational Resilience Act (DORA), establish compliance standards that define data handling practices and compel organizations to align with sovereignty principles [147, 148]. Data steering is essential for Europe to establish itself as a leader in the digital space, as other regions increasingly look to European legislation for legal guidance [164]. Yet this regulatory ambition is in stark contrast to the persistent dependency: cloud and data infrastructure remain dominated by US and Chinese providers, with Europe struggling to develop competitive solutions [165]. Regulation thus aims to protect European interests on an international stage while incentivizing local innovation. This dual approach aims to shift Europe from dependence to leadership in global data standards [166].</w:t>
      </w:r>
    </w:p>
    <w:p w14:paraId="0000001E" w14:textId="77777777" w:rsidR="00D2635F" w:rsidRDefault="00000000">
      <w:pPr>
        <w:pStyle w:val="Heading3"/>
      </w:pPr>
      <w:bookmarkStart w:id="9" w:name="_henj5i43fho7" w:colFirst="0" w:colLast="0"/>
      <w:bookmarkEnd w:id="9"/>
      <w:r>
        <w:t>Facts:</w:t>
      </w:r>
    </w:p>
    <w:p w14:paraId="0000001F" w14:textId="77777777" w:rsidR="00D2635F" w:rsidRDefault="00000000">
      <w:pPr>
        <w:numPr>
          <w:ilvl w:val="0"/>
          <w:numId w:val="2"/>
        </w:numPr>
      </w:pPr>
      <w:r>
        <w:t>Over 80% of Europe's digital services and products are imported, and 92% of data is stored on US-based cloud servers [167].</w:t>
      </w:r>
    </w:p>
    <w:p w14:paraId="00000020" w14:textId="77777777" w:rsidR="00D2635F" w:rsidRDefault="00000000">
      <w:pPr>
        <w:numPr>
          <w:ilvl w:val="0"/>
          <w:numId w:val="2"/>
        </w:numPr>
      </w:pPr>
      <w:r>
        <w:t>The AI Act establishes clear rules for steering data based on risk levels for AI systems. It bans use cases such as social scoring and requires strict checks for "high-risk" systems in areas like hiring and healthcare [168].</w:t>
      </w:r>
      <w:r>
        <w:rPr>
          <w:color w:val="666666"/>
        </w:rPr>
      </w:r>
      <w:r/>
      <w:r>
        <w:rPr>
          <w:color w:val="666666"/>
        </w:rPr>
      </w:r>
      <w:r/>
    </w:p>
    <w:p w14:paraId="00000021" w14:textId="77777777" w:rsidR="00D2635F" w:rsidRDefault="00000000">
      <w:pPr>
        <w:numPr>
          <w:ilvl w:val="0"/>
          <w:numId w:val="2"/>
        </w:numPr>
      </w:pPr>
      <w:r>
        <w:t>The DORA aims to create room for multiple cloud providers, ensuring that no single vendor becomes too dominant, thereby risking systemic failure [148].</w:t>
      </w:r>
    </w:p>
    <w:p w14:paraId="00000022" w14:textId="77777777" w:rsidR="00D2635F" w:rsidRDefault="00000000">
      <w:pPr>
        <w:numPr>
          <w:ilvl w:val="0"/>
          <w:numId w:val="2"/>
        </w:numPr>
      </w:pPr>
      <w:r>
        <w:t>Responding to European concerns, major US cloud providers like Microsoft and AWS begin to offer sovereign cloud solutions to provide more control and data residency within Europe [169].</w:t>
      </w:r>
    </w:p>
    <w:p w14:paraId="00000023" w14:textId="77777777" w:rsidR="00D2635F" w:rsidRDefault="00000000">
      <w:pPr>
        <w:pStyle w:val="Heading3"/>
      </w:pPr>
      <w:bookmarkStart w:id="10" w:name="_e79v1wkpg17v" w:colFirst="0" w:colLast="0"/>
      <w:bookmarkEnd w:id="10"/>
      <w:r>
        <w:t>Key Drivers:</w:t>
      </w:r>
    </w:p>
    <w:p w14:paraId="00000024" w14:textId="77777777" w:rsidR="00D2635F" w:rsidRDefault="00000000">
      <w:pPr>
        <w:numPr>
          <w:ilvl w:val="0"/>
          <w:numId w:val="2"/>
        </w:numPr>
      </w:pPr>
      <w:r>
        <w:t>As data becomes a geopolitical and economic asset, the EU's profound dependency on foreign infrastructure, where 92% of its data resides on US servers, has made data steering a strategic necessity [167, 170].</w:t>
      </w:r>
    </w:p>
    <w:p w14:paraId="00000025" w14:textId="77777777" w:rsidR="00D2635F" w:rsidRDefault="00000000">
      <w:pPr>
        <w:numPr>
          <w:ilvl w:val="0"/>
          <w:numId w:val="2"/>
        </w:numPr>
      </w:pPr>
      <w:r>
        <w:t>Due to jurisdictional overreach, physical data storage in Europe does not guarantee legal protection. Under laws like the US CLOUD Act, US authorities can demand access to data held by US companies, even from servers within the EU, as demonstrated in legal disputes involving major US cloud providers [141]. This nullifies the security promised by mere data residency.</w:t>
      </w:r>
    </w:p>
    <w:p w14:paraId="00000026" w14:textId="77777777" w:rsidR="00D2635F" w:rsidRDefault="00000000">
      <w:pPr>
        <w:numPr>
          <w:ilvl w:val="0"/>
          <w:numId w:val="2"/>
        </w:numPr>
      </w:pPr>
      <w:r>
        <w:t>Fragmented European capabilities slow the development of competitive cloud and data infrastructure, risking initiatives becoming symbolic rather than delivering genuine sovereignty [171, 172].</w:t>
      </w:r>
    </w:p>
    <w:p w14:paraId="00000027" w14:textId="77777777" w:rsidR="00D2635F" w:rsidRDefault="00000000">
      <w:pPr>
        <w:pStyle w:val="Heading3"/>
      </w:pPr>
      <w:bookmarkStart w:id="11" w:name="_rzsxtvi70xy3" w:colFirst="0" w:colLast="0"/>
      <w:bookmarkEnd w:id="11"/>
      <w:r>
        <w:t>Challenges:</w:t>
      </w:r>
    </w:p>
    <w:p w14:paraId="00000028" w14:textId="77777777" w:rsidR="00D2635F" w:rsidRDefault="00000000">
      <w:pPr>
        <w:numPr>
          <w:ilvl w:val="0"/>
          <w:numId w:val="2"/>
        </w:numPr>
      </w:pPr>
      <w:r>
        <w:t>Overcoming the entrenched market dominance, technical advantages, and vendor lock-in of established non-EU cloud providers remains a significant barrier to achieving genuine market sovereignty, even as European alternatives emerge [173].</w:t>
      </w:r>
    </w:p>
    <w:p w14:paraId="00000029" w14:textId="77777777" w:rsidR="00D2635F" w:rsidRDefault="00000000">
      <w:pPr>
        <w:numPr>
          <w:ilvl w:val="0"/>
          <w:numId w:val="2"/>
        </w:numPr>
      </w:pPr>
      <w:r>
        <w:t>Compliance with EU regulations creates administrative and financial burdens, especially for smaller companies. At the same time, unresolved conflicts with foreign laws highlight the need for more precise legal definitions and new instruments to manage jurisdictional clashes [171, 172].</w:t>
      </w:r>
    </w:p>
    <w:p w14:paraId="0000002A" w14:textId="77777777" w:rsidR="00D2635F" w:rsidRDefault="00000000">
      <w:pPr>
        <w:pStyle w:val="Heading3"/>
      </w:pPr>
      <w:bookmarkStart w:id="12" w:name="_bwcgijjvor6q" w:colFirst="0" w:colLast="0"/>
      <w:bookmarkEnd w:id="12"/>
      <w:r>
        <w:t>Impact on Digital Sovereignty in Europe</w:t>
      </w:r>
    </w:p>
    <w:p w14:paraId="0000002B" w14:textId="77777777" w:rsidR="00D2635F" w:rsidRDefault="00000000">
      <w:pPr>
        <w:spacing w:before="120" w:after="120"/>
      </w:pPr>
      <w:r>
        <w:t xml:space="preserve">Effective data steering strengthens Europe’s digital sovereignty by creating a predictable and secure environment for innovation and investment in AI, cloud, and digital services. By establishing clear operational standards, European firms can compete with greater confidence and attract resources to develop homegrown solutions. With data becoming increasingly important, operational control provides strategic leverage in global negotiations, enabling Europe to influence international rules and standards. This foundation allows the EU to proactively regulate emerging technologies, turning data sovereignty into both a competitive advantage and a long-term enabler of European digital leadership. </w:t>
      </w:r>
      <w:r>
        <w:br w:type="page"/>
      </w:r>
    </w:p>
    <w:p w14:paraId="0000002C" w14:textId="77777777" w:rsidR="00D2635F" w:rsidRDefault="00000000">
      <w:pPr>
        <w:pStyle w:val="Heading1"/>
        <w:spacing w:before="240" w:after="240"/>
        <w:jc w:val="left"/>
      </w:pPr>
      <w:bookmarkStart w:id="13" w:name="_ni8pmi3bgpk6" w:colFirst="0" w:colLast="0"/>
      <w:bookmarkEnd w:id="13"/>
      <w:r>
        <w:lastRenderedPageBreak/>
        <w:t>3. Boosting EU Digital Policy Efforts</w:t>
      </w:r>
    </w:p>
    <w:p w14:paraId="0000002D" w14:textId="77777777" w:rsidR="00D2635F" w:rsidRDefault="00000000">
      <w:pPr>
        <w:spacing w:line="360" w:lineRule="auto"/>
      </w:pPr>
      <w:r>
        <w:rPr>
          <w:color w:val="000000"/>
          <w:sz w:val="18"/>
          <w:szCs w:val="18"/>
        </w:rPr>
        <w:t>Bridging the Digital Gap with Clear Targets and Coordinated Policy Action</w:t>
      </w:r>
    </w:p>
    <w:p w14:paraId="0000002E" w14:textId="77777777" w:rsidR="00D2635F" w:rsidRDefault="00D2635F"/>
    <w:p w14:paraId="0000002F" w14:textId="77777777" w:rsidR="00D2635F" w:rsidRDefault="00000000">
      <w:r>
        <w:t>The EU has long trailed behind digital frontrunners like the US and China. To close this gap, it launched the Digital Decade programme in 2022 – a comprehensive strategy with clear targets for 2030. Key areas include boosting digital skills, driving business transformation, building secure infrastructure, and digitizing public services [78]. To ensure this transformation reflects European values, the EU adopted the Declaration on Digital Rights and Principles alongside the programme. While the Digital Decade defines the goals, the Declaration provides the framework to reach in a way that protects privacy, freedom of choice, inclusion, and democracy [149]. This link between action plan and guiding principles materializes in measures such as the Cyber Resilience Act, which mandates cybersecurity standards for all digital products in the EU. It strengthens critical infrastructure, protects users from growing threats, and builds trust through transparency [174]. Together, these initiatives mark Europe’s effort to shape a value-driven digital future.</w:t>
      </w:r>
      <w:proofErr w:type="spellStart"/>
      <w:r/>
      <w:proofErr w:type="spellEnd"/>
      <w:r/>
      <w:proofErr w:type="spellStart"/>
      <w:r/>
      <w:proofErr w:type="spellEnd"/>
      <w:r/>
    </w:p>
    <w:p w14:paraId="00000030" w14:textId="77777777" w:rsidR="00D2635F" w:rsidRDefault="00D2635F"/>
    <w:p w14:paraId="00000031" w14:textId="77777777" w:rsidR="00D2635F" w:rsidRDefault="00000000">
      <w:pPr>
        <w:rPr>
          <w:highlight w:val="yellow"/>
        </w:rPr>
      </w:pPr>
      <w:r>
        <w:rPr>
          <w:b/>
          <w:color w:val="024EA2"/>
        </w:rPr>
        <w:t xml:space="preserve">Facts: </w:t>
      </w:r>
    </w:p>
    <w:p w14:paraId="00000032" w14:textId="77777777" w:rsidR="00D2635F" w:rsidRDefault="00000000">
      <w:pPr>
        <w:numPr>
          <w:ilvl w:val="0"/>
          <w:numId w:val="2"/>
        </w:numPr>
      </w:pPr>
      <w:r>
        <w:t>National Digital Decade roadmaps outline 288.6B EUR in planned investments and structural reforms aimed at creating sustainable, secure, and human-centered digital ecosystems across Europe [78].</w:t>
      </w:r>
    </w:p>
    <w:p w14:paraId="00000033" w14:textId="77777777" w:rsidR="00D2635F" w:rsidRDefault="00000000">
      <w:pPr>
        <w:numPr>
          <w:ilvl w:val="0"/>
          <w:numId w:val="2"/>
        </w:numPr>
      </w:pPr>
      <w:r>
        <w:t>According to the 2024 State of the Digital Decade report, 45% of EU-level recommendations have already shown significant progress, particularly in areas such as human-centered AI and the protection of fundamental digital rights [78].</w:t>
      </w:r>
    </w:p>
    <w:p w14:paraId="00000034" w14:textId="77777777" w:rsidR="00D2635F" w:rsidRDefault="00000000">
      <w:pPr>
        <w:numPr>
          <w:ilvl w:val="0"/>
          <w:numId w:val="2"/>
        </w:numPr>
      </w:pPr>
      <w:r>
        <w:t>The Declaration on Digital Rights and Principles establishes a guiding framework that places people and their rights at the very core of Europe’s digital future [149].</w:t>
      </w:r>
    </w:p>
    <w:p w14:paraId="00000035" w14:textId="77777777" w:rsidR="00D2635F" w:rsidRDefault="00000000">
      <w:pPr>
        <w:spacing w:before="240" w:line="360" w:lineRule="auto"/>
      </w:pPr>
      <w:r>
        <w:rPr>
          <w:b/>
          <w:color w:val="024EA2"/>
        </w:rPr>
        <w:t>Key Drivers:</w:t>
      </w:r>
    </w:p>
    <w:p w14:paraId="00000036" w14:textId="77777777" w:rsidR="00D2635F" w:rsidRDefault="00000000">
      <w:pPr>
        <w:numPr>
          <w:ilvl w:val="0"/>
          <w:numId w:val="2"/>
        </w:numPr>
      </w:pPr>
      <w:r>
        <w:t>Public support drives embedding values into the digital sphere, with 85% of EU citizens supporting government initiatives to tackle online misinformation compared to only 55% in the US [175, 176].</w:t>
      </w:r>
    </w:p>
    <w:p w14:paraId="00000037" w14:textId="77777777" w:rsidR="00D2635F" w:rsidRDefault="00000000">
      <w:pPr>
        <w:numPr>
          <w:ilvl w:val="0"/>
          <w:numId w:val="2"/>
        </w:numPr>
      </w:pPr>
      <w:r>
        <w:t>Achieving the Digital Decade 2030 targets could boost the EU’s GDP by up to 1.8%, underscoring the strong link between digital advancement, sustainable economic growth, and global competitiveness [78].</w:t>
      </w:r>
    </w:p>
    <w:p w14:paraId="00000038" w14:textId="77777777" w:rsidR="00D2635F" w:rsidRDefault="00000000">
      <w:pPr>
        <w:numPr>
          <w:ilvl w:val="0"/>
          <w:numId w:val="2"/>
        </w:numPr>
      </w:pPr>
      <w:r>
        <w:t>The intensifying competition from the US and China drives the EU to accelerate its digital policy agenda to stay resilient, maintain global relevance and decision-making power in the digital economy era [149].</w:t>
      </w:r>
    </w:p>
    <w:p w14:paraId="00000039" w14:textId="77777777" w:rsidR="00D2635F" w:rsidRDefault="00000000">
      <w:pPr>
        <w:spacing w:before="240" w:line="360" w:lineRule="auto"/>
        <w:rPr>
          <w:b/>
          <w:color w:val="024EA2"/>
        </w:rPr>
      </w:pPr>
      <w:r>
        <w:rPr>
          <w:b/>
          <w:color w:val="024EA2"/>
        </w:rPr>
        <w:t>Challenges:</w:t>
      </w:r>
    </w:p>
    <w:p w14:paraId="0000003A" w14:textId="77777777" w:rsidR="00D2635F" w:rsidRDefault="00000000">
      <w:pPr>
        <w:numPr>
          <w:ilvl w:val="0"/>
          <w:numId w:val="2"/>
        </w:numPr>
      </w:pPr>
      <w:r>
        <w:t>Although the targets demonstrate strong ambition, actual implementation often lags. Nearly half of the EU-level recommendations in the 2024 State of the Digital Decade report show only limited or no progress. Basic digital skills among citizens only increased by 2% since 2020, reaching 55% in 2025. This slow progress falls way short of the 80% goal for 2030 [78].</w:t>
      </w:r>
    </w:p>
    <w:p w14:paraId="0000003B" w14:textId="77777777" w:rsidR="00D2635F" w:rsidRDefault="00000000">
      <w:pPr>
        <w:numPr>
          <w:ilvl w:val="0"/>
          <w:numId w:val="2"/>
        </w:numPr>
      </w:pPr>
      <w:r>
        <w:t>Regulations such as the Cyber Resilience Act (CRA) face resistance to implementation due to fragmented legal frameworks and industry lobbying [177].</w:t>
      </w:r>
    </w:p>
    <w:p w14:paraId="0000003C" w14:textId="77777777" w:rsidR="00D2635F" w:rsidRDefault="00000000">
      <w:pPr>
        <w:pStyle w:val="Heading3"/>
      </w:pPr>
      <w:bookmarkStart w:id="14" w:name="_500b7zpgn10s" w:colFirst="0" w:colLast="0"/>
      <w:bookmarkEnd w:id="14"/>
      <w:r>
        <w:t>Impact on Digital Sovereignty in Europe:</w:t>
      </w:r>
    </w:p>
    <w:p w14:paraId="0000003D" w14:textId="77777777" w:rsidR="00D2635F" w:rsidRDefault="00D2635F"/>
    <w:p w14:paraId="0000003E" w14:textId="77777777" w:rsidR="00D2635F" w:rsidRDefault="00000000">
      <w:r>
        <w:t xml:space="preserve">The EU’s Digital Decade 2030 </w:t>
      </w:r>
      <w:proofErr w:type="spellStart"/>
      <w:r>
        <w:t>programme</w:t>
      </w:r>
      <w:proofErr w:type="spellEnd"/>
      <w:r>
        <w:t xml:space="preserve"> and Declaration on Digital Rights lay the foundation for a human-centered digital future in Europe. Public backing for tackling disinformation and online threats gives strong societal momentum. However, slow progress in adopting even basic digital skills and opposition to regulation such as the CRA risk Europe falling short of its ambitious transformation targets. Overcoming these challenges would prove that citizen privacy, democratic systems and economic interests can be protected simultaneously. In contrast to the US or China, the EU could establish itself as the leading digital role model and ultimately secure European interests on a global scale.</w:t>
      </w:r>
    </w:p>
    <w:p w14:paraId="0000003F" w14:textId="77777777" w:rsidR="00D2635F" w:rsidRDefault="00000000">
      <w:r>
        <w:br w:type="page"/>
      </w:r>
    </w:p>
    <w:p w14:paraId="00000040" w14:textId="77777777" w:rsidR="00D2635F" w:rsidRDefault="00000000">
      <w:pPr>
        <w:pStyle w:val="Heading1"/>
        <w:spacing w:after="200"/>
        <w:rPr>
          <w:b w:val="0"/>
        </w:rPr>
      </w:pPr>
      <w:bookmarkStart w:id="15" w:name="_9yf717kmh62s" w:colFirst="0" w:colLast="0"/>
      <w:bookmarkEnd w:id="15"/>
      <w:r>
        <w:rPr>
          <w:b w:val="0"/>
        </w:rPr>
        <w:lastRenderedPageBreak/>
        <w:t>4. Creating Digital Currency Systems</w:t>
      </w:r>
    </w:p>
    <w:p w14:paraId="00000041" w14:textId="77777777" w:rsidR="00D2635F" w:rsidRDefault="00000000">
      <w:pPr>
        <w:pStyle w:val="Heading2"/>
      </w:pPr>
      <w:bookmarkStart w:id="16" w:name="_7cyn5cpfsdkx" w:colFirst="0" w:colLast="0"/>
      <w:bookmarkEnd w:id="16"/>
      <w:r>
        <w:t>Building a Digital Euro and Payment Systems to Secure Europe’s Monetary Independence</w:t>
      </w:r>
    </w:p>
    <w:p w14:paraId="00000042" w14:textId="77777777" w:rsidR="00D2635F" w:rsidRDefault="00000000">
      <w:pPr>
        <w:spacing w:before="120" w:after="120"/>
        <w:rPr>
          <w:color w:val="666666"/>
        </w:rPr>
      </w:pPr>
      <w:r>
        <w:rPr>
          <w:color w:val="666666"/>
        </w:rPr>
        <w:t>The EU is building a sovereign digital currency and payment systems to protect monetary autonomy in the digital age [178]. Today, most Eurozone card payments are processed by international, primarily US-based providers, creating strategic dependencies [179]. To address this risk, the EU is establishing new regulatory frameworks and digital infrastructure to reinforce control over payments. Central to this effort is the digital euro: a free, secure, and universally accessible form of digital cash issued by the European Central Bank (ECB) [179]. The EU also expands fast payment options like SEPA Instant and backs the European Payments Initiative (EPI) and its "Wero" wallet [180]. This is complemented by creating regulatory certainty for emerging products such as crypto-assets and other fintech innovations [181]. Collectively, these initiatives aim to protect consumers, reduce foreign reliance, and foster a resilient, competitive European payments ecosystem [151].</w:t>
      </w:r>
    </w:p>
    <w:p w14:paraId="00000043" w14:textId="77777777" w:rsidR="00D2635F" w:rsidRDefault="00000000">
      <w:pPr>
        <w:spacing w:before="240" w:line="360" w:lineRule="auto"/>
        <w:rPr>
          <w:b/>
          <w:color w:val="024EA2"/>
        </w:rPr>
      </w:pPr>
      <w:r>
        <w:rPr>
          <w:b/>
          <w:color w:val="024EA2"/>
        </w:rPr>
        <w:t>Facts:</w:t>
      </w:r>
    </w:p>
    <w:p w14:paraId="00000044" w14:textId="77777777" w:rsidR="00D2635F" w:rsidRDefault="00000000">
      <w:pPr>
        <w:numPr>
          <w:ilvl w:val="0"/>
          <w:numId w:val="1"/>
        </w:numPr>
        <w:spacing w:before="360"/>
        <w:jc w:val="left"/>
        <w:rPr>
          <w:rFonts w:ascii="Arial" w:eastAsia="Arial" w:hAnsi="Arial" w:cs="Arial"/>
          <w:color w:val="000000"/>
          <w:sz w:val="22"/>
          <w:szCs w:val="22"/>
        </w:rPr>
      </w:pPr>
      <w:r>
        <w:rPr>
          <w:color w:val="666666"/>
        </w:rPr>
        <w:t>The European Commission has proposed to establish the digital euro as a legal tender. Once enacted, most merchants in the Eurozone would be required to accept it [151].</w:t>
      </w:r>
    </w:p>
    <w:p w14:paraId="00000045" w14:textId="77777777" w:rsidR="00D2635F" w:rsidRDefault="00000000">
      <w:pPr>
        <w:numPr>
          <w:ilvl w:val="0"/>
          <w:numId w:val="1"/>
        </w:numPr>
        <w:jc w:val="left"/>
        <w:rPr>
          <w:rFonts w:ascii="Arial" w:eastAsia="Arial" w:hAnsi="Arial" w:cs="Arial"/>
          <w:color w:val="000000"/>
          <w:sz w:val="22"/>
          <w:szCs w:val="22"/>
        </w:rPr>
      </w:pPr>
      <w:r>
        <w:rPr>
          <w:color w:val="666666"/>
        </w:rPr>
        <w:t>The Open Finance Framework, Payment Services Directive 3 (PSD3), and Markets in Crypto-Assets Regulation (MiCA) create a harmonized rulebook that mandates data sharing, unifies licensing, and provides regulatory certainty [150, 181].</w:t>
      </w:r>
      <w:proofErr w:type="spellStart"/>
      <w:r>
        <w:rPr>
          <w:color w:val="666666"/>
        </w:rPr>
      </w:r>
      <w:proofErr w:type="spellEnd"/>
      <w:r>
        <w:rPr>
          <w:color w:val="666666"/>
        </w:rPr>
      </w:r>
    </w:p>
    <w:p w14:paraId="00000046" w14:textId="77777777" w:rsidR="00D2635F" w:rsidRDefault="00000000">
      <w:pPr>
        <w:numPr>
          <w:ilvl w:val="0"/>
          <w:numId w:val="1"/>
        </w:numPr>
        <w:spacing w:after="360"/>
        <w:jc w:val="left"/>
        <w:rPr>
          <w:rFonts w:ascii="Arial" w:eastAsia="Arial" w:hAnsi="Arial" w:cs="Arial"/>
          <w:color w:val="000000"/>
          <w:sz w:val="22"/>
          <w:szCs w:val="22"/>
        </w:rPr>
      </w:pPr>
      <w:r>
        <w:rPr>
          <w:color w:val="666666"/>
        </w:rPr>
        <w:t>The EPI, backed by 16 major European banks and providers, launched the "Wero" wallet as a European-governed, instant account-to-account payment solution, designed to reduce reliance on international card schemes [182].</w:t>
      </w:r>
    </w:p>
    <w:p w14:paraId="00000047" w14:textId="77777777" w:rsidR="00D2635F" w:rsidRDefault="00000000">
      <w:pPr>
        <w:spacing w:before="240" w:line="360" w:lineRule="auto"/>
        <w:rPr>
          <w:b/>
          <w:color w:val="024EA2"/>
        </w:rPr>
      </w:pPr>
      <w:r>
        <w:rPr>
          <w:b/>
          <w:color w:val="024EA2"/>
        </w:rPr>
        <w:t xml:space="preserve">Key Drivers: </w:t>
      </w:r>
    </w:p>
    <w:p w14:paraId="00000048" w14:textId="77777777" w:rsidR="00D2635F" w:rsidRDefault="00000000">
      <w:pPr>
        <w:numPr>
          <w:ilvl w:val="0"/>
          <w:numId w:val="4"/>
        </w:numPr>
        <w:spacing w:before="240"/>
        <w:jc w:val="left"/>
        <w:rPr>
          <w:color w:val="666666"/>
        </w:rPr>
      </w:pPr>
      <w:r>
        <w:rPr>
          <w:color w:val="666666"/>
        </w:rPr>
        <w:t>More than 60% of EU card payments are still processed through non-European networks, exposing Europe to external control and potential service disruptions. This necessitates the development of local solutions strengthening Europe’s payment infrastructure [139].</w:t>
      </w:r>
    </w:p>
    <w:p w14:paraId="00000049" w14:textId="77777777" w:rsidR="00D2635F" w:rsidRDefault="00000000">
      <w:pPr>
        <w:numPr>
          <w:ilvl w:val="0"/>
          <w:numId w:val="4"/>
        </w:numPr>
        <w:jc w:val="left"/>
        <w:rPr>
          <w:color w:val="666666"/>
        </w:rPr>
      </w:pPr>
      <w:r>
        <w:rPr>
          <w:color w:val="666666"/>
        </w:rPr>
        <w:t xml:space="preserve">The rapid growth of stablecoins, big-tech wallets, and foreign cryptocurrency exchanges threaten the euro’s leading role in the European monetary system. This weakens monetary policy effectiveness, making it imperative for Europe to accelerate sovereign digital finance solutions [183]. </w:t>
      </w:r>
    </w:p>
    <w:p w14:paraId="0000004A" w14:textId="77777777" w:rsidR="00D2635F" w:rsidRDefault="00000000">
      <w:pPr>
        <w:numPr>
          <w:ilvl w:val="0"/>
          <w:numId w:val="4"/>
        </w:numPr>
        <w:spacing w:after="240"/>
        <w:jc w:val="left"/>
        <w:rPr>
          <w:color w:val="666666"/>
        </w:rPr>
      </w:pPr>
      <w:r>
        <w:rPr>
          <w:color w:val="666666"/>
        </w:rPr>
        <w:t>Operational and especially cyber resilience become increasingly important due to the evolving threat landscape. Secure, EU-governed payment rails are crucial to ensure continuity of critical financial services even in crises [179, 182].</w:t>
      </w:r>
    </w:p>
    <w:p w14:paraId="0000004B" w14:textId="77777777" w:rsidR="00D2635F" w:rsidRDefault="00000000">
      <w:pPr>
        <w:spacing w:before="240" w:line="360" w:lineRule="auto"/>
        <w:rPr>
          <w:b/>
          <w:color w:val="024EA2"/>
        </w:rPr>
      </w:pPr>
      <w:r>
        <w:rPr>
          <w:b/>
          <w:color w:val="024EA2"/>
        </w:rPr>
        <w:t>Challenges:</w:t>
      </w:r>
    </w:p>
    <w:p w14:paraId="0000004C" w14:textId="77777777" w:rsidR="00D2635F" w:rsidRDefault="00000000">
      <w:pPr>
        <w:numPr>
          <w:ilvl w:val="0"/>
          <w:numId w:val="3"/>
        </w:numPr>
        <w:spacing w:before="120"/>
        <w:jc w:val="left"/>
        <w:rPr>
          <w:rFonts w:ascii="Arial" w:eastAsia="Arial" w:hAnsi="Arial" w:cs="Arial"/>
          <w:color w:val="000000"/>
          <w:sz w:val="22"/>
          <w:szCs w:val="22"/>
        </w:rPr>
      </w:pPr>
      <w:r>
        <w:rPr>
          <w:color w:val="666666"/>
        </w:rPr>
        <w:t>Due to fragmentation and bureaucratic barriers, the digital euro rollout remains slow and uncertain, enabling foreign digital currencies to take dominant market positions [184].</w:t>
      </w:r>
    </w:p>
    <w:p w14:paraId="0000004D" w14:textId="77777777" w:rsidR="00D2635F" w:rsidRDefault="00000000">
      <w:pPr>
        <w:numPr>
          <w:ilvl w:val="0"/>
          <w:numId w:val="3"/>
        </w:numPr>
        <w:jc w:val="left"/>
        <w:rPr>
          <w:rFonts w:ascii="Arial" w:eastAsia="Arial" w:hAnsi="Arial" w:cs="Arial"/>
          <w:color w:val="000000"/>
          <w:sz w:val="22"/>
          <w:szCs w:val="22"/>
        </w:rPr>
      </w:pPr>
      <w:r>
        <w:rPr>
          <w:color w:val="666666"/>
        </w:rPr>
        <w:t>The design of open and flexible standards requires balancing inclusivity, interoperability, and practicality to ensure interoperability without creating barriers that favor large, incumbent providers or exclude smaller players, promoting a level playing field [185].</w:t>
      </w:r>
      <w:r/>
      <w:r>
        <w:rPr>
          <w:color w:val="666666"/>
        </w:rPr>
      </w:r>
    </w:p>
    <w:p w14:paraId="0000004E" w14:textId="77777777" w:rsidR="00D2635F" w:rsidRDefault="00000000">
      <w:pPr>
        <w:numPr>
          <w:ilvl w:val="0"/>
          <w:numId w:val="3"/>
        </w:numPr>
        <w:spacing w:after="360"/>
        <w:jc w:val="left"/>
        <w:rPr>
          <w:rFonts w:ascii="Arial" w:eastAsia="Arial" w:hAnsi="Arial" w:cs="Arial"/>
          <w:color w:val="000000"/>
          <w:sz w:val="22"/>
          <w:szCs w:val="22"/>
        </w:rPr>
      </w:pPr>
      <w:r>
        <w:rPr>
          <w:color w:val="666666"/>
        </w:rPr>
        <w:t>Enabling cross‑currency instant payments introduces complexity. The coordination across regulatory regimes, multinational providers and exchange‑rate management requires careful design [186].</w:t>
      </w:r>
    </w:p>
    <w:p w14:paraId="0000004F" w14:textId="77777777" w:rsidR="00D2635F" w:rsidRDefault="00000000">
      <w:pPr>
        <w:spacing w:before="240" w:line="360" w:lineRule="auto"/>
        <w:rPr>
          <w:b/>
          <w:color w:val="024EA2"/>
        </w:rPr>
      </w:pPr>
      <w:r>
        <w:rPr>
          <w:b/>
          <w:color w:val="024EA2"/>
        </w:rPr>
        <w:t>Impact on Digital Sovereignty in Europe:</w:t>
      </w:r>
    </w:p>
    <w:p w14:paraId="00000050" w14:textId="77777777" w:rsidR="00D2635F" w:rsidRDefault="00000000">
      <w:pPr>
        <w:spacing w:before="120" w:after="120"/>
      </w:pPr>
      <w:r>
        <w:t xml:space="preserve">The EU strives to reduce reliance on foreign providers and secure monetary independence by rolling out the digital euro and sovereign payment systems. A unified European financial ecosystem promises </w:t>
      </w:r>
      <w:r>
        <w:rPr>
          <w:color w:val="666666"/>
        </w:rPr>
        <w:t>to accelerate payments, strengthen consumer protection, and expand fintech opportunities.</w:t>
      </w:r>
      <w:r>
        <w:t xml:space="preserve"> However, challenges such as aligning diverse member states and balancing innovation with regulation persist. between. Overcoming these barriers is crucial for maintaining control over Europe’s financial infrastructure and monetary policy. With effective implementation, Europe can foster its sovereignty in the financial domain.</w:t>
      </w:r>
    </w:p>
    <w:p w14:paraId="00000051" w14:textId="77777777" w:rsidR="00D2635F" w:rsidRDefault="00D2635F">
      <w:pPr>
        <w:spacing w:before="120" w:after="120"/>
      </w:pPr>
    </w:p>
    <w:p w14:paraId="00000052" w14:textId="77777777" w:rsidR="00D2635F" w:rsidRDefault="00D2635F">
      <w:pPr>
        <w:spacing w:before="120" w:after="120"/>
      </w:pPr>
    </w:p>
    <w:p w14:paraId="00000053" w14:textId="77777777" w:rsidR="00D2635F" w:rsidRDefault="00D2635F">
      <w:pPr>
        <w:spacing w:before="120" w:after="120"/>
      </w:pPr>
    </w:p>
    <w:p w14:paraId="00000054" w14:textId="77777777" w:rsidR="00D2635F" w:rsidRDefault="00D2635F">
      <w:pPr>
        <w:spacing w:before="120" w:after="120"/>
      </w:pPr>
    </w:p>
    <w:p w14:paraId="00000055" w14:textId="77777777" w:rsidR="00D2635F" w:rsidRDefault="00D2635F">
      <w:pPr>
        <w:spacing w:before="120" w:after="120"/>
      </w:pPr>
    </w:p>
    <w:p w14:paraId="00000056" w14:textId="77777777" w:rsidR="00D2635F" w:rsidRDefault="00D2635F">
      <w:pPr>
        <w:spacing w:before="120" w:after="120"/>
      </w:pPr>
    </w:p>
    <w:p w14:paraId="00000057" w14:textId="77777777" w:rsidR="00D2635F" w:rsidRDefault="00D2635F">
      <w:pPr>
        <w:spacing w:before="120" w:after="120"/>
      </w:pPr>
    </w:p>
    <w:p w14:paraId="00000058" w14:textId="77777777" w:rsidR="00D2635F" w:rsidRDefault="00D2635F">
      <w:pPr>
        <w:spacing w:before="120" w:after="120"/>
      </w:pPr>
    </w:p>
    <w:p w14:paraId="00000059" w14:textId="77777777" w:rsidR="00D2635F" w:rsidRDefault="00D2635F">
      <w:pPr>
        <w:spacing w:before="120" w:after="120"/>
      </w:pPr>
    </w:p>
    <w:p w14:paraId="0000005A" w14:textId="77777777" w:rsidR="00D2635F" w:rsidRDefault="00D2635F">
      <w:pPr>
        <w:spacing w:before="120" w:after="120"/>
        <w:rPr>
          <w:color w:val="666666"/>
        </w:rPr>
      </w:pPr>
    </w:p>
    <w:p w14:paraId="0000005B" w14:textId="77777777" w:rsidR="00D2635F" w:rsidRDefault="00000000">
      <w:pPr>
        <w:pStyle w:val="Heading1"/>
        <w:spacing w:after="200"/>
        <w:rPr>
          <w:b w:val="0"/>
        </w:rPr>
      </w:pPr>
      <w:bookmarkStart w:id="17" w:name="_1nn774e3k6di" w:colFirst="0" w:colLast="0"/>
      <w:bookmarkEnd w:id="17"/>
      <w:r>
        <w:rPr>
          <w:b w:val="0"/>
        </w:rPr>
        <w:t>5. Reconciling Dual-Use Governance</w:t>
      </w:r>
    </w:p>
    <w:p w14:paraId="0000005C" w14:textId="77777777" w:rsidR="00D2635F" w:rsidRDefault="00000000">
      <w:pPr>
        <w:pStyle w:val="Heading2"/>
      </w:pPr>
      <w:bookmarkStart w:id="18" w:name="_stuectw8slb5" w:colFirst="0" w:colLast="0"/>
      <w:bookmarkEnd w:id="18"/>
      <w:r>
        <w:t>Unifying Regulatory Frameworks to Enable Dual-Use Innovation</w:t>
      </w:r>
    </w:p>
    <w:p w14:paraId="0000005D" w14:textId="67DF64B7" w:rsidR="00D2635F" w:rsidRDefault="00000000">
      <w:r>
        <w:t>Europe's innovation in dual-use technologies is increasingly constrained by regulatory misalignment. EU policymakers maintain strict boundaries between civilian and military domains, yet the technologies themselves no longer adhere to these divisions [152]. This artificial separation generates regulatory inefficiencies and ultimately fragments innovation ecosystems, creating redundancies, and increased compliance costs [187]. Dual-use technologies have become increasingly common across sectors: The Global Positioning System (GPS) serves both private vehicles but also military drones. The underlying functionality does not change with the application, yet EU regulations impose differentiated treatment. By contrast, the US and China leverage technological convergence as a strategic asset, actively incentivizing cross-sector development to accelerate innovation and strengthen competitiveness [188].</w:t>
      </w:r>
      <w:r w:rsidR="006052A2"/>
      <w:r/>
    </w:p>
    <w:p w14:paraId="0000005E" w14:textId="77777777" w:rsidR="00D2635F" w:rsidRDefault="00000000">
      <w:pPr>
        <w:spacing w:before="240" w:line="360" w:lineRule="auto"/>
        <w:rPr>
          <w:b/>
          <w:color w:val="024EA2"/>
        </w:rPr>
      </w:pPr>
      <w:r>
        <w:rPr>
          <w:b/>
          <w:color w:val="024EA2"/>
        </w:rPr>
        <w:t>Facts:</w:t>
      </w:r>
    </w:p>
    <w:p w14:paraId="0000005F" w14:textId="77777777" w:rsidR="00D2635F" w:rsidRDefault="00000000">
      <w:pPr>
        <w:numPr>
          <w:ilvl w:val="0"/>
          <w:numId w:val="5"/>
        </w:numPr>
      </w:pPr>
      <w:r>
        <w:t>The EU sources over 60% of its drone components from the US and China, leaving Europe vulnerable to geopolitical pressure or export restrictions [187].</w:t>
      </w:r>
    </w:p>
    <w:p w14:paraId="00000060" w14:textId="77777777" w:rsidR="00D2635F" w:rsidRDefault="00000000">
      <w:pPr>
        <w:numPr>
          <w:ilvl w:val="0"/>
          <w:numId w:val="5"/>
        </w:numPr>
      </w:pPr>
      <w:r>
        <w:t>The AI Act and Horizon Europe both enforce a strict separation between civilian and military domains: the former excludes military applications altogether, while the latter explicitly prohibits military involvement [187, 189].</w:t>
      </w:r>
    </w:p>
    <w:p w14:paraId="00000061" w14:textId="77777777" w:rsidR="00D2635F" w:rsidRDefault="00000000">
      <w:pPr>
        <w:numPr>
          <w:ilvl w:val="0"/>
          <w:numId w:val="5"/>
        </w:numPr>
      </w:pPr>
      <w:r>
        <w:t>The "Readiness 2030" whitepaper, published by the European Commission in 2025, announced that the European Innovation Council (EIC) plans to invest in dual-use technologies, lifting the previous civilian-only mandate [152].</w:t>
      </w:r>
    </w:p>
    <w:p w14:paraId="00000062" w14:textId="77777777" w:rsidR="00D2635F" w:rsidRDefault="00000000">
      <w:pPr>
        <w:spacing w:before="240" w:line="360" w:lineRule="auto"/>
        <w:rPr>
          <w:b/>
          <w:color w:val="024EA2"/>
        </w:rPr>
      </w:pPr>
      <w:r>
        <w:rPr>
          <w:b/>
          <w:color w:val="024EA2"/>
        </w:rPr>
        <w:t>Key Drivers:</w:t>
      </w:r>
    </w:p>
    <w:p w14:paraId="00000063" w14:textId="77777777" w:rsidR="00D2635F" w:rsidRDefault="00000000">
      <w:pPr>
        <w:numPr>
          <w:ilvl w:val="0"/>
          <w:numId w:val="1"/>
        </w:numPr>
      </w:pPr>
      <w:r>
        <w:t>Russia's invasion of Ukraine and the US questioning NATO commitments forces the EU to reconcile defense autonomy with dual-use realities. With 64% of arms being imported from the US, Europe faces an urgent need to develop sovereign capabilities through the very dual-use technologies it has historically restricted [190, 191].</w:t>
      </w:r>
    </w:p>
    <w:p w14:paraId="00000064" w14:textId="77777777" w:rsidR="00D2635F" w:rsidRDefault="00000000">
      <w:pPr>
        <w:numPr>
          <w:ilvl w:val="0"/>
          <w:numId w:val="1"/>
        </w:numPr>
      </w:pPr>
      <w:r>
        <w:t>Technological convergence between civilian and military applications drives pressure to unify regulation. Advanced civilian and military drones are powered by the same AI systems, sensors, and components [192, 193].</w:t>
      </w:r>
    </w:p>
    <w:p w14:paraId="00000065" w14:textId="77777777" w:rsidR="00D2635F" w:rsidRDefault="00000000">
      <w:pPr>
        <w:spacing w:before="240" w:line="360" w:lineRule="auto"/>
        <w:rPr>
          <w:b/>
          <w:color w:val="024EA2"/>
        </w:rPr>
      </w:pPr>
      <w:r>
        <w:rPr>
          <w:b/>
          <w:color w:val="024EA2"/>
        </w:rPr>
        <w:t>Challenges:</w:t>
      </w:r>
    </w:p>
    <w:p w14:paraId="00000066" w14:textId="77777777" w:rsidR="00D2635F" w:rsidRDefault="00000000">
      <w:pPr>
        <w:numPr>
          <w:ilvl w:val="0"/>
          <w:numId w:val="5"/>
        </w:numPr>
      </w:pPr>
      <w:r>
        <w:t>The EU lacks a standard definition of "dual-use". For instance, the European Investment Bank (EIB) and export control authorities apply different definitions, hindering decision-making for joint investments [187].</w:t>
      </w:r>
      <w:proofErr w:type="gramStart"/>
      <w:r/>
      <w:proofErr w:type="gramEnd"/>
      <w:r/>
    </w:p>
    <w:p w14:paraId="00000067" w14:textId="77777777" w:rsidR="00D2635F" w:rsidRDefault="00000000">
      <w:pPr>
        <w:numPr>
          <w:ilvl w:val="0"/>
          <w:numId w:val="5"/>
        </w:numPr>
      </w:pPr>
      <w:r>
        <w:t>EU regulations struggle to keep up with rapidly evolving technologies. By the time dual-use frameworks are adopted and implemented, the underlying technologies have already advanced [194].</w:t>
      </w:r>
    </w:p>
    <w:p w14:paraId="00000068" w14:textId="77777777" w:rsidR="00D2635F" w:rsidRDefault="00000000">
      <w:pPr>
        <w:numPr>
          <w:ilvl w:val="0"/>
          <w:numId w:val="5"/>
        </w:numPr>
      </w:pPr>
      <w:r>
        <w:t>The EU lacks a central licensing system, while member states establish a patchwork of national dual-use controls [194]. The same technology permitted for export in one country may be banned in another, creating regulatory fragmentation.</w:t>
      </w:r>
    </w:p>
    <w:p w14:paraId="00000069" w14:textId="77777777" w:rsidR="00D2635F" w:rsidRDefault="00000000">
      <w:pPr>
        <w:pStyle w:val="Heading3"/>
      </w:pPr>
      <w:bookmarkStart w:id="19" w:name="_w6nqdpiwpech" w:colFirst="0" w:colLast="0"/>
      <w:bookmarkEnd w:id="19"/>
      <w:r>
        <w:t>Impact on Digital Sovereignty in Europe:</w:t>
      </w:r>
    </w:p>
    <w:p w14:paraId="0000006A" w14:textId="77777777" w:rsidR="00D2635F" w:rsidRDefault="00000000">
      <w:r>
        <w:t>Regulatory fragmentation poses a serious risk to the EU’s defense capabilities and digital autonomy. It prevents companies from achieving the necessary scale to compete globally, as they cannot seamlessly leverage civilian innovations for defense applications like their US and Chinese counterparts. The disconnect between ethical positions and investment strategies creates policy uncertainty that deters long-term R&amp;D investments in autonomous systems. A path forward would be a unified framework that bridges the civilian and military domains. This could accelerate technological development in the EU and reduce European dependence on foreign technologies for both defense and commercial needs.</w:t>
      </w:r>
    </w:p>
    <w:p w14:paraId="0000006B" w14:textId="77777777" w:rsidR="00D2635F" w:rsidRDefault="00D2635F"/>
    <w:p w14:paraId="0000006C" w14:textId="77777777" w:rsidR="00D2635F" w:rsidRDefault="00D2635F"/>
    <w:p w14:paraId="0000006D" w14:textId="77777777" w:rsidR="00D2635F" w:rsidRDefault="00D2635F"/>
    <w:p w14:paraId="0000006E" w14:textId="77777777" w:rsidR="00D2635F" w:rsidRDefault="00D2635F"/>
    <w:sectPr w:rsidR="00D2635F">
      <w:headerReference w:type="default" r:id="rId7"/>
      <w:footerReference w:type="default" r:id="rId8"/>
      <w:pgSz w:w="11900" w:h="16840"/>
      <w:pgMar w:top="1417" w:right="1417" w:bottom="1134" w:left="141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6A7A8" w14:textId="77777777" w:rsidR="00272B50" w:rsidRDefault="00272B50">
      <w:r>
        <w:separator/>
      </w:r>
    </w:p>
  </w:endnote>
  <w:endnote w:type="continuationSeparator" w:id="0">
    <w:p w14:paraId="27B2F15F" w14:textId="77777777" w:rsidR="00272B50" w:rsidRDefault="00272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venir">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0" w14:textId="77777777" w:rsidR="00D2635F" w:rsidRDefault="00D26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4768B" w14:textId="77777777" w:rsidR="00272B50" w:rsidRDefault="00272B50">
      <w:r>
        <w:separator/>
      </w:r>
    </w:p>
  </w:footnote>
  <w:footnote w:type="continuationSeparator" w:id="0">
    <w:p w14:paraId="6A4191F2" w14:textId="77777777" w:rsidR="00272B50" w:rsidRDefault="00272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6F" w14:textId="77777777" w:rsidR="00D2635F" w:rsidRDefault="00D26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7EB"/>
    <w:multiLevelType w:val="multilevel"/>
    <w:tmpl w:val="819828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D255448"/>
    <w:multiLevelType w:val="multilevel"/>
    <w:tmpl w:val="4A2A89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1B675DB"/>
    <w:multiLevelType w:val="multilevel"/>
    <w:tmpl w:val="6810C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A385DF1"/>
    <w:multiLevelType w:val="multilevel"/>
    <w:tmpl w:val="74F2FC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540444D"/>
    <w:multiLevelType w:val="multilevel"/>
    <w:tmpl w:val="095A32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41548AC"/>
    <w:multiLevelType w:val="multilevel"/>
    <w:tmpl w:val="58C604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59999946">
    <w:abstractNumId w:val="4"/>
  </w:num>
  <w:num w:numId="2" w16cid:durableId="1633290319">
    <w:abstractNumId w:val="2"/>
  </w:num>
  <w:num w:numId="3" w16cid:durableId="1754663615">
    <w:abstractNumId w:val="5"/>
  </w:num>
  <w:num w:numId="4" w16cid:durableId="1483472910">
    <w:abstractNumId w:val="0"/>
  </w:num>
  <w:num w:numId="5" w16cid:durableId="667171474">
    <w:abstractNumId w:val="3"/>
  </w:num>
  <w:num w:numId="6" w16cid:durableId="1213809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35F"/>
    <w:rsid w:val="000679CC"/>
    <w:rsid w:val="00073EC0"/>
    <w:rsid w:val="00272B50"/>
    <w:rsid w:val="006052A2"/>
    <w:rsid w:val="009A489B"/>
    <w:rsid w:val="00D2635F"/>
    <w:rsid w:val="00D55716"/>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ecimalSymbol w:val=","/>
  <w:listSeparator w:val=","/>
  <w14:docId w14:val="16D8092F"/>
  <w15:docId w15:val="{EDF15774-399F-FF43-912F-EEEFD948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w:eastAsia="Avenir" w:hAnsi="Avenir" w:cs="Avenir"/>
        <w:color w:val="3C3F42"/>
        <w:sz w:val="15"/>
        <w:szCs w:val="15"/>
        <w:lang w:val="en" w:eastAsia="en-GB" w:bidi="th-TH"/>
      </w:rPr>
    </w:rPrDefault>
    <w:pPrDefault>
      <w:pPr>
        <w:pBdr>
          <w:top w:val="none" w:sz="0" w:space="0" w:color="000000"/>
          <w:left w:val="none" w:sz="0" w:space="0" w:color="000000"/>
          <w:bottom w:val="none" w:sz="0" w:space="0" w:color="000000"/>
          <w:right w:val="none" w:sz="0" w:space="0" w:color="000000"/>
          <w:between w:val="none" w:sz="0" w:space="0" w:color="000000"/>
        </w:pBd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color w:val="5B9BD5"/>
      <w:sz w:val="24"/>
      <w:szCs w:val="24"/>
    </w:rPr>
  </w:style>
  <w:style w:type="paragraph" w:styleId="Heading2">
    <w:name w:val="heading 2"/>
    <w:basedOn w:val="Normal"/>
    <w:next w:val="Normal"/>
    <w:uiPriority w:val="9"/>
    <w:unhideWhenUsed/>
    <w:qFormat/>
    <w:pPr>
      <w:keepNext/>
      <w:keepLines/>
      <w:spacing w:line="360" w:lineRule="auto"/>
      <w:outlineLvl w:val="1"/>
    </w:pPr>
    <w:rPr>
      <w:color w:val="000000"/>
      <w:sz w:val="18"/>
      <w:szCs w:val="18"/>
    </w:rPr>
  </w:style>
  <w:style w:type="paragraph" w:styleId="Heading3">
    <w:name w:val="heading 3"/>
    <w:basedOn w:val="Normal"/>
    <w:next w:val="Normal"/>
    <w:uiPriority w:val="9"/>
    <w:unhideWhenUsed/>
    <w:qFormat/>
    <w:pPr>
      <w:keepNext/>
      <w:keepLines/>
      <w:spacing w:before="240" w:line="360" w:lineRule="auto"/>
      <w:outlineLvl w:val="2"/>
    </w:pPr>
    <w:rPr>
      <w:b/>
      <w:color w:val="024EA2"/>
    </w:rPr>
  </w:style>
  <w:style w:type="paragraph" w:styleId="Heading4">
    <w:name w:val="heading 4"/>
    <w:basedOn w:val="Normal"/>
    <w:next w:val="Normal"/>
    <w:uiPriority w:val="9"/>
    <w:semiHidden/>
    <w:unhideWhenUsed/>
    <w:qFormat/>
    <w:pPr>
      <w:keepNext/>
      <w:keepLines/>
      <w:spacing w:before="320" w:after="200"/>
      <w:outlineLvl w:val="3"/>
    </w:pPr>
    <w:rPr>
      <w:rFonts w:ascii="Arial" w:eastAsia="Arial" w:hAnsi="Arial" w:cs="Arial"/>
      <w:b/>
      <w:sz w:val="26"/>
      <w:szCs w:val="26"/>
    </w:rPr>
  </w:style>
  <w:style w:type="paragraph" w:styleId="Heading5">
    <w:name w:val="heading 5"/>
    <w:basedOn w:val="Normal"/>
    <w:next w:val="Normal"/>
    <w:uiPriority w:val="9"/>
    <w:semiHidden/>
    <w:unhideWhenUsed/>
    <w:qFormat/>
    <w:pPr>
      <w:keepNext/>
      <w:keepLines/>
      <w:spacing w:before="320" w:after="200"/>
      <w:outlineLvl w:val="4"/>
    </w:pPr>
    <w:rPr>
      <w:rFonts w:ascii="Arial" w:eastAsia="Arial" w:hAnsi="Arial" w:cs="Arial"/>
      <w:b/>
      <w:sz w:val="24"/>
      <w:szCs w:val="24"/>
    </w:rPr>
  </w:style>
  <w:style w:type="paragraph" w:styleId="Heading6">
    <w:name w:val="heading 6"/>
    <w:basedOn w:val="Normal"/>
    <w:next w:val="Normal"/>
    <w:uiPriority w:val="9"/>
    <w:semiHidden/>
    <w:unhideWhenUsed/>
    <w:qFormat/>
    <w:pPr>
      <w:keepNext/>
      <w:keepLines/>
      <w:spacing w:before="320" w:after="200"/>
      <w:outlineLvl w:val="5"/>
    </w:pPr>
    <w:rPr>
      <w:rFonts w:ascii="Arial" w:eastAsia="Arial"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rPr>
      <w:rFonts w:ascii="Calibri" w:eastAsia="Calibri" w:hAnsi="Calibri" w:cs="Calibri"/>
      <w:color w:val="000000"/>
      <w:sz w:val="56"/>
      <w:szCs w:val="56"/>
    </w:rPr>
  </w:style>
  <w:style w:type="paragraph" w:styleId="Subtitle">
    <w:name w:val="Subtitle"/>
    <w:basedOn w:val="Normal"/>
    <w:next w:val="Normal"/>
    <w:uiPriority w:val="11"/>
    <w:qFormat/>
    <w:pPr>
      <w:spacing w:after="160"/>
    </w:pPr>
    <w:rPr>
      <w:rFonts w:ascii="Calibri" w:eastAsia="Calibri" w:hAnsi="Calibri" w:cs="Calibri"/>
      <w:color w:val="5A5A5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3476</Words>
  <Characters>19817</Characters>
  <Application>Microsoft Office Word</Application>
  <DocSecurity>0</DocSecurity>
  <Lines>165</Lines>
  <Paragraphs>46</Paragraphs>
  <ScaleCrop>false</ScaleCrop>
  <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Danit Niwattananan</cp:lastModifiedBy>
  <cp:revision>4</cp:revision>
  <dcterms:created xsi:type="dcterms:W3CDTF">2025-09-29T16:35:00Z</dcterms:created>
  <dcterms:modified xsi:type="dcterms:W3CDTF">2025-09-29T17:14:00Z</dcterms:modified>
</cp:coreProperties>
</file>