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d341phiuyszz" w:id="0"/>
      <w:bookmarkEnd w:id="0"/>
      <w:r w:rsidDel="00000000" w:rsidR="00000000" w:rsidRPr="00000000">
        <w:rPr>
          <w:rtl w:val="0"/>
        </w:rPr>
        <w:t xml:space="preserve">Introduction</w:t>
      </w:r>
      <w:r w:rsidDel="00000000" w:rsidR="00000000" w:rsidRPr="00000000">
        <w:rPr>
          <w:rtl w:val="0"/>
        </w:rPr>
        <w:t xml:space="preserve">: Societal Trends</w:t>
      </w:r>
    </w:p>
    <w:p w:rsidR="00000000" w:rsidDel="00000000" w:rsidP="00000000" w:rsidRDefault="00000000" w:rsidRPr="00000000" w14:paraId="00000002">
      <w:pPr>
        <w:spacing w:after="240" w:before="240" w:lineRule="auto"/>
        <w:rPr/>
      </w:pPr>
      <w:r w:rsidDel="00000000" w:rsidR="00000000" w:rsidRPr="00000000">
        <w:rPr>
          <w:rtl w:val="0"/>
        </w:rPr>
        <w:t xml:space="preserve">Digital sovereignty is usually described in terms of policies, technologies, and regulations designed to limit dependence on foreign providers. However, focusing only on these structural aspects overlooks a deeper reality: sovereignty in the digital age is ultimately shaped within society itself. It unfolds through three interconnected dimensions: consumer choices, innovation capacity, and collective identity. </w:t>
      </w:r>
      <w:r w:rsidDel="00000000" w:rsidR="00000000" w:rsidRPr="00000000">
        <w:rPr>
          <w:rtl w:val="0"/>
        </w:rPr>
        <w:t xml:space="preserve">These dimensions determine whether citizens, firms, and institutions can create, adopt, and sustain European digital alternatives. Without societal demand, practical skills, and shared legitimacy, any measures will have limited impact and remain largely symbolic.</w:t>
      </w:r>
    </w:p>
    <w:p w:rsidR="00000000" w:rsidDel="00000000" w:rsidP="00000000" w:rsidRDefault="00000000" w:rsidRPr="00000000" w14:paraId="00000003">
      <w:pPr>
        <w:spacing w:after="240" w:before="240" w:lineRule="auto"/>
        <w:rPr/>
      </w:pPr>
      <w:r w:rsidDel="00000000" w:rsidR="00000000" w:rsidRPr="00000000">
        <w:rPr>
          <w:rtl w:val="0"/>
        </w:rPr>
        <w:t>Consumer choices shape the market for European digital products, as Europeans increasingly value privacy, fairness, and transparency over raw functionality, driving demand for trusted alternatives [71]. Yet adoption is constrained by price sensitivity and entrenched vendor lock-in, while foreign providers often adapt to local rules without ceding control [72, 73]. European values may guide consumer preferences, but economic and structural barriers frequently prevent them from translating into substantial market share or lasting competitive advantage for European alternatives.</w:t>
      </w:r>
      <w:r w:rsidDel="00000000" w:rsidR="00000000" w:rsidRPr="00000000">
        <w:rPr>
          <w:rtl w:val="0"/>
        </w:rPr>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Moreover, innovation capacity determines whether Europe can convert demand into supply. Digital technologies evolve faster than people’s ability to use them, producing gaps in basic digital literacy and advanced ICT skills [74, 75]. Europe trains world-class AI specialists at competitive per-capita rates, yet many leave for more lucrative positions abroad [76, 77]. These shortfalls, ranging from insufficient baseline skills to persistent “brain drain,” both blunt consumer agency and limit the region’s capacity to design, scale, and secure homegrown technologies. Without closing both gaps, European supply cannot reliably meet European demand [78].</w:t>
      </w:r>
      <w:r w:rsidDel="00000000" w:rsidR="00000000" w:rsidRPr="00000000">
        <w:rPr>
          <w:rtl w:val="0"/>
        </w:rPr>
      </w: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rPr>
          <w:rtl w:val="0"/>
        </w:rPr>
        <w:t>Ultimately, collective identity shapes both consumption and political will. Although trust in EU institutions is rising and a sense of European identity is strengthening, national attachments remain stronger for most citizens [79, 80, 81]. Many people adopt hybrid positions, combining national pride with support for European cooperation, and leaders often reflect this duality. That ambivalence can mobilize broad coalitions for shared projects, but it also creates openings for Eurosceptic narratives that undermine long-term commitment to collective solutions [82]. Political legitimacy, therefore, determines whether social preferences translate into sustained public policy and private investment.</w:t>
      </w:r>
      <w:r w:rsidDel="00000000" w:rsidR="00000000" w:rsidRPr="00000000">
        <w:rPr>
          <w:rtl w:val="0"/>
        </w:rPr>
      </w:r>
    </w:p>
    <w:p w:rsidR="00000000" w:rsidDel="00000000" w:rsidP="00000000" w:rsidRDefault="00000000" w:rsidRPr="00000000" w14:paraId="00000006">
      <w:pPr>
        <w:spacing w:after="240" w:before="240" w:lineRule="auto"/>
        <w:rPr/>
      </w:pPr>
      <w:r w:rsidDel="00000000" w:rsidR="00000000" w:rsidRPr="00000000">
        <w:rPr>
          <w:rtl w:val="0"/>
        </w:rPr>
        <w:t>These dimensions are tightly interlinked and mutually reinforcing. Consumer choices generate demand signals. Innovation capacities determine whether those signals result in usable, secure products. Collective identity underpins the social consent required for coordinated public action and investment. Left unaddressed, the combination of price sensitivity, skills shortfalls, and contested identities risks a counterproductive equilibrium: Europe trains talent that benefits foreign competitors, regulates systems it does not control, and struggles to align consumer preferences with durable political and industrial strategies. Achieving digital sovereignty, therefore, requires integrated approaches that strengthen market conditions, upskill populations, and build political consensus so societal demand can be converted into resilient European alternatives [71, 80, 83].</w:t>
      </w:r>
      <w:r w:rsidDel="00000000" w:rsidR="00000000" w:rsidRPr="00000000">
        <w:rPr>
          <w:rtl w:val="0"/>
        </w:rPr>
      </w:r>
    </w:p>
    <w:p w:rsidR="00000000" w:rsidDel="00000000" w:rsidP="00000000" w:rsidRDefault="00000000" w:rsidRPr="00000000" w14:paraId="00000007">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08">
      <w:pPr>
        <w:pStyle w:val="Title"/>
        <w:numPr>
          <w:ilvl w:val="0"/>
          <w:numId w:val="1"/>
        </w:numPr>
        <w:ind w:left="720" w:hanging="360"/>
        <w:rPr>
          <w:u w:val="none"/>
        </w:rPr>
      </w:pPr>
      <w:bookmarkStart w:colFirst="0" w:colLast="0" w:name="_heading=h.omsak72gy9sc" w:id="1"/>
      <w:bookmarkEnd w:id="1"/>
      <w:r w:rsidDel="00000000" w:rsidR="00000000" w:rsidRPr="00000000">
        <w:rPr>
          <w:rtl w:val="0"/>
        </w:rPr>
        <w:t xml:space="preserve">Rising</w:t>
      </w:r>
      <w:r w:rsidDel="00000000" w:rsidR="00000000" w:rsidRPr="00000000">
        <w:rPr>
          <w:rtl w:val="0"/>
        </w:rPr>
        <w:t xml:space="preserve"> Demand for European Digital </w:t>
      </w:r>
      <w:r w:rsidDel="00000000" w:rsidR="00000000" w:rsidRPr="00000000">
        <w:rPr>
          <w:rtl w:val="0"/>
        </w:rPr>
        <w:t xml:space="preserve">Tech</w:t>
      </w:r>
    </w:p>
    <w:p w:rsidR="00000000" w:rsidDel="00000000" w:rsidP="00000000" w:rsidRDefault="00000000" w:rsidRPr="00000000" w14:paraId="00000009">
      <w:pPr>
        <w:spacing w:line="360" w:lineRule="auto"/>
        <w:rPr>
          <w:color w:val="000000"/>
          <w:sz w:val="18"/>
          <w:szCs w:val="18"/>
        </w:rPr>
      </w:pPr>
      <w:r w:rsidDel="00000000" w:rsidR="00000000" w:rsidRPr="00000000">
        <w:rPr>
          <w:color w:val="000000"/>
          <w:sz w:val="18"/>
          <w:szCs w:val="18"/>
          <w:rtl w:val="0"/>
        </w:rPr>
        <w:t xml:space="preserve">Companies and Citizens </w:t>
      </w:r>
      <w:r w:rsidDel="00000000" w:rsidR="00000000" w:rsidRPr="00000000">
        <w:rPr>
          <w:color w:val="000000"/>
          <w:sz w:val="18"/>
          <w:szCs w:val="18"/>
          <w:rtl w:val="0"/>
        </w:rPr>
        <w:t xml:space="preserve">Increasingly</w:t>
      </w:r>
      <w:r w:rsidDel="00000000" w:rsidR="00000000" w:rsidRPr="00000000">
        <w:rPr>
          <w:color w:val="000000"/>
          <w:sz w:val="18"/>
          <w:szCs w:val="18"/>
          <w:rtl w:val="0"/>
        </w:rPr>
        <w:t xml:space="preserve"> Turn to European Digital Platforms for Trusted Solutions</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t>Europeans’ decision criteria for digital products are increasingly shifting from pure functionality toward trust, transparency, and alignment with core European values such as privacy, fairness, and democracy [71]. Moreover, rising concerns about data privacy, repeated cybersecurity incidents, and discontent with the dominance of US and Chinese platforms are accelerating the search for homegrown alternatives [72]. Consequently, European providers that embed European values into their services, such as ProtonMail and Ecosia, are gaining traction [84, 85]. This growth, fueled by European demand, is evident in both consumer and enterprise markets as executives increasingly view digital sovereignty as a strategic necessity to reduce reliance on foreign infrastructure and mitigate the pricing power of non-European suppliers [86]. Additionally, grassroots initiatives such as the Reddit community “r/BuyFromEU” and apps like “GoEuropean” raise awareness of product origins and connect consumers directly with European alternatives [87, 88]. This suggests that momentum is driven not only by regulatory or corporate forces, but also by cultural influences and bottom-up consumer choices.</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0B">
      <w:pPr>
        <w:spacing w:after="0" w:before="240" w:line="360" w:lineRule="auto"/>
        <w:rPr/>
      </w:pPr>
      <w:r w:rsidDel="00000000" w:rsidR="00000000" w:rsidRPr="00000000">
        <w:rPr>
          <w:rFonts w:ascii="Avenir" w:cs="Avenir" w:eastAsia="Avenir" w:hAnsi="Avenir"/>
          <w:b w:val="1"/>
          <w:color w:val="024ea2"/>
          <w:rtl w:val="0"/>
        </w:rPr>
        <w:t xml:space="preserve">Facts</w:t>
      </w:r>
      <w:r w:rsidDel="00000000" w:rsidR="00000000" w:rsidRPr="00000000">
        <w:rPr>
          <w:rtl w:val="0"/>
        </w:rPr>
      </w:r>
    </w:p>
    <w:p w:rsidR="00000000" w:rsidDel="00000000" w:rsidP="00000000" w:rsidRDefault="00000000" w:rsidRPr="00000000" w14:paraId="0000000C">
      <w:pPr>
        <w:numPr>
          <w:ilvl w:val="0"/>
          <w:numId w:val="13"/>
        </w:numPr>
        <w:ind w:left="720" w:hanging="360"/>
        <w:rPr>
          <w:u w:val="none"/>
        </w:rPr>
      </w:pPr>
      <w:r w:rsidDel="00000000" w:rsidR="00000000" w:rsidRPr="00000000">
        <w:rPr>
          <w:rtl w:val="0"/>
        </w:rPr>
        <w:t>Europeans show a strong willingness to replace US products with a median substitution score of 80 out of 100 [72].</w:t>
      </w:r>
    </w:p>
    <w:p w:rsidR="00000000" w:rsidDel="00000000" w:rsidP="00000000" w:rsidRDefault="00000000" w:rsidRPr="00000000" w14:paraId="0000000D">
      <w:pPr>
        <w:numPr>
          <w:ilvl w:val="0"/>
          <w:numId w:val="13"/>
        </w:numPr>
        <w:ind w:left="720" w:hanging="360"/>
        <w:rPr>
          <w:u w:val="none"/>
        </w:rPr>
      </w:pPr>
      <w:r w:rsidDel="00000000" w:rsidR="00000000" w:rsidRPr="00000000">
        <w:rPr>
          <w:rtl w:val="0"/>
        </w:rPr>
        <w:t>European digital platforms, such as ProtonMail and Ecosia, have reported strong growth, with the latter increasing by 19% from 2024 to 2025 [84, 85].</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13"/>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Alongside initiatives such as Deutsche Telekom’s “Open Telekom Cloud,” the launch of Microsoft’s EU sovereign cloud shows that non-European providers are also adapting [89].</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13"/>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Hybrid cloud adoption is accelerating, as 66% of European firms now consider the combination of on-premise compute and public cloud services essential for business success. Adoption rates are expected to double by 2026 [90].</w:t>
      </w:r>
      <w:r w:rsidDel="00000000" w:rsidR="00000000" w:rsidRPr="00000000">
        <w:rPr>
          <w:rtl w:val="0"/>
        </w:rPr>
      </w:r>
      <w:r w:rsidDel="00000000" w:rsidR="00000000" w:rsidRPr="00000000">
        <w:rPr>
          <w:rtl w:val="0"/>
        </w:rPr>
      </w:r>
    </w:p>
    <w:p w:rsidR="00000000" w:rsidDel="00000000" w:rsidP="00000000" w:rsidRDefault="00000000" w:rsidRPr="00000000" w14:paraId="00000010">
      <w:pPr>
        <w:spacing w:before="240" w:line="360" w:lineRule="auto"/>
        <w:rPr>
          <w:rFonts w:ascii="Avenir" w:cs="Avenir" w:eastAsia="Avenir" w:hAnsi="Avenir"/>
          <w:b w:val="1"/>
          <w:color w:val="024ea2"/>
        </w:rPr>
      </w:pPr>
      <w:r w:rsidDel="00000000" w:rsidR="00000000" w:rsidRPr="00000000">
        <w:rPr>
          <w:rFonts w:ascii="Avenir" w:cs="Avenir" w:eastAsia="Avenir" w:hAnsi="Avenir"/>
          <w:b w:val="1"/>
          <w:color w:val="024ea2"/>
          <w:rtl w:val="0"/>
        </w:rPr>
        <w:t xml:space="preserve">Key Drivers</w:t>
      </w:r>
    </w:p>
    <w:p w:rsidR="00000000" w:rsidDel="00000000" w:rsidP="00000000" w:rsidRDefault="00000000" w:rsidRPr="00000000" w14:paraId="00000011">
      <w:pPr>
        <w:numPr>
          <w:ilvl w:val="0"/>
          <w:numId w:val="4"/>
        </w:numPr>
        <w:ind w:left="720" w:hanging="360"/>
        <w:rPr>
          <w:u w:val="none"/>
        </w:rPr>
      </w:pPr>
      <w:r w:rsidDel="00000000" w:rsidR="00000000" w:rsidRPr="00000000">
        <w:rPr>
          <w:rtl w:val="0"/>
        </w:rPr>
        <w:t>Repeated misconduct by Big Tech and cyberattacks are boosting demand for sovereign, secure technology. 82% of Europeans support clear rules for digital technologies, and 84% say AI must be carefully managed to protect privacy and ensure transparency [91].</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2">
      <w:pPr>
        <w:numPr>
          <w:ilvl w:val="0"/>
          <w:numId w:val="4"/>
        </w:numPr>
        <w:ind w:left="720" w:hanging="360"/>
        <w:rPr>
          <w:u w:val="none"/>
        </w:rPr>
      </w:pPr>
      <w:r w:rsidDel="00000000" w:rsidR="00000000" w:rsidRPr="00000000">
        <w:rPr>
          <w:rtl w:val="0"/>
        </w:rPr>
        <w:t>Control over proprietary data is emerging as a decisive competitive advantage, enabling companies to reduce dependence on external providers and strengthen their market position [92].</w:t>
      </w:r>
    </w:p>
    <w:p w:rsidR="00000000" w:rsidDel="00000000" w:rsidP="00000000" w:rsidRDefault="00000000" w:rsidRPr="00000000" w14:paraId="00000013">
      <w:pPr>
        <w:numPr>
          <w:ilvl w:val="0"/>
          <w:numId w:val="4"/>
        </w:numPr>
        <w:ind w:left="720" w:hanging="360"/>
        <w:rPr>
          <w:u w:val="none"/>
        </w:rPr>
      </w:pPr>
      <w:r w:rsidDel="00000000" w:rsidR="00000000" w:rsidRPr="00000000">
        <w:rPr>
          <w:rtl w:val="0"/>
        </w:rPr>
        <w:t>Executives are increasingly alert about vendor lock-in, a concern reinforced by recent price hikes from major tech providers, such as Microsoft’s 5–25% increase in subscription costs [56].</w:t>
      </w:r>
      <w:r w:rsidDel="00000000" w:rsidR="00000000" w:rsidRPr="00000000">
        <w:rPr>
          <w:rtl w:val="0"/>
        </w:rPr>
      </w:r>
    </w:p>
    <w:p w:rsidR="00000000" w:rsidDel="00000000" w:rsidP="00000000" w:rsidRDefault="00000000" w:rsidRPr="00000000" w14:paraId="00000014">
      <w:pPr>
        <w:spacing w:before="240" w:line="360" w:lineRule="auto"/>
        <w:rPr>
          <w:rFonts w:ascii="Avenir" w:cs="Avenir" w:eastAsia="Avenir" w:hAnsi="Avenir"/>
          <w:b w:val="1"/>
          <w:color w:val="024ea2"/>
        </w:rPr>
      </w:pPr>
      <w:r w:rsidDel="00000000" w:rsidR="00000000" w:rsidRPr="00000000">
        <w:rPr>
          <w:rFonts w:ascii="Avenir" w:cs="Avenir" w:eastAsia="Avenir" w:hAnsi="Avenir"/>
          <w:b w:val="1"/>
          <w:color w:val="024ea2"/>
          <w:rtl w:val="0"/>
        </w:rPr>
        <w:t xml:space="preserve">Challenges</w:t>
      </w:r>
    </w:p>
    <w:p w:rsidR="00000000" w:rsidDel="00000000" w:rsidP="00000000" w:rsidRDefault="00000000" w:rsidRPr="00000000" w14:paraId="00000015">
      <w:pPr>
        <w:numPr>
          <w:ilvl w:val="0"/>
          <w:numId w:val="7"/>
        </w:numPr>
        <w:ind w:left="720" w:hanging="360"/>
        <w:rPr>
          <w:u w:val="none"/>
        </w:rPr>
      </w:pPr>
      <w:r w:rsidDel="00000000" w:rsidR="00000000" w:rsidRPr="00000000">
        <w:rPr>
          <w:rtl w:val="0"/>
        </w:rPr>
        <w:t>Price sensitivity limits mass adoption at both the company and consumer levels. While many low-income households support the idea of “Made in Europe,” they are often hesitant to pay a premium for it. On the business side, companies require economically competitive alternatives. However, Europe-based providers often lack the scale and cost efficiency of their US competitors [72].</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6">
      <w:pPr>
        <w:numPr>
          <w:ilvl w:val="0"/>
          <w:numId w:val="7"/>
        </w:numPr>
        <w:ind w:left="720" w:hanging="360"/>
        <w:rPr>
          <w:u w:val="none"/>
        </w:rPr>
      </w:pPr>
      <w:r w:rsidDel="00000000" w:rsidR="00000000" w:rsidRPr="00000000">
        <w:rPr>
          <w:rtl w:val="0"/>
        </w:rPr>
        <w:t>Vendor lock-in, caused by multi-year cloud contracts, deeply integrated infrastructure, and high switching costs, limits the flexibility of European firms. This makes it difficult for them to move away from US hyperscalers, which hold 70% of the European cloud market [56, 73].</w:t>
      </w:r>
      <w:r w:rsidDel="00000000" w:rsidR="00000000" w:rsidRPr="00000000">
        <w:rPr>
          <w:rtl w:val="0"/>
        </w:rPr>
      </w:r>
    </w:p>
    <w:p w:rsidR="00000000" w:rsidDel="00000000" w:rsidP="00000000" w:rsidRDefault="00000000" w:rsidRPr="00000000" w14:paraId="00000017">
      <w:pPr>
        <w:spacing w:before="240" w:line="360" w:lineRule="auto"/>
        <w:rPr>
          <w:rFonts w:ascii="Avenir" w:cs="Avenir" w:eastAsia="Avenir" w:hAnsi="Avenir"/>
          <w:b w:val="1"/>
          <w:color w:val="024ea2"/>
        </w:rPr>
      </w:pPr>
      <w:r w:rsidDel="00000000" w:rsidR="00000000" w:rsidRPr="00000000">
        <w:rPr>
          <w:rFonts w:ascii="Avenir" w:cs="Avenir" w:eastAsia="Avenir" w:hAnsi="Avenir"/>
          <w:b w:val="1"/>
          <w:color w:val="024ea2"/>
          <w:rtl w:val="0"/>
        </w:rPr>
        <w:t xml:space="preserve">Impact on Digital Sovereignty</w:t>
      </w: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The rising demand for trusted European digital products strengthens Europe’s ability to regain control of its digital infrastructure. Although progress is hindered by vendor lock-in and a lack of competitive European alternatives, each shift away from US or Chinese platforms reduces </w:t>
      </w:r>
      <w:r w:rsidDel="00000000" w:rsidR="00000000" w:rsidRPr="00000000">
        <w:rPr>
          <w:rtl w:val="0"/>
        </w:rPr>
        <w:t xml:space="preserve">their</w:t>
      </w:r>
      <w:r w:rsidDel="00000000" w:rsidR="00000000" w:rsidRPr="00000000">
        <w:rPr>
          <w:rtl w:val="0"/>
        </w:rPr>
        <w:t xml:space="preserve"> pricing power and data dominance. These shifts show that s</w:t>
      </w:r>
      <w:r w:rsidDel="00000000" w:rsidR="00000000" w:rsidRPr="00000000">
        <w:rPr>
          <w:rtl w:val="0"/>
        </w:rPr>
        <w:t xml:space="preserve">overeignty is not only a regulatory ambition but a market reality driven by bottom-up demand.</w:t>
      </w:r>
      <w:r w:rsidDel="00000000" w:rsidR="00000000" w:rsidRPr="00000000">
        <w:rPr>
          <w:rtl w:val="0"/>
        </w:rPr>
        <w:t xml:space="preserve"> By embedding privacy, fairness, and transparency into everyday services, European companies can turn digital sovereignty into a competitive advantage rooted in cultural alignment and consumer trust.</w:t>
      </w:r>
      <w:r w:rsidDel="00000000" w:rsidR="00000000" w:rsidRPr="00000000">
        <w:br w:type="page"/>
      </w:r>
      <w:r w:rsidDel="00000000" w:rsidR="00000000" w:rsidRPr="00000000">
        <w:rPr>
          <w:rtl w:val="0"/>
        </w:rPr>
      </w:r>
    </w:p>
    <w:p w:rsidR="00000000" w:rsidDel="00000000" w:rsidP="00000000" w:rsidRDefault="00000000" w:rsidRPr="00000000" w14:paraId="00000019">
      <w:pPr>
        <w:pStyle w:val="Title"/>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u w:val="none"/>
        </w:rPr>
      </w:pPr>
      <w:bookmarkStart w:colFirst="0" w:colLast="0" w:name="_heading=h.x7ykw4d81dm5" w:id="2"/>
      <w:bookmarkEnd w:id="2"/>
      <w:r w:rsidDel="00000000" w:rsidR="00000000" w:rsidRPr="00000000">
        <w:rPr>
          <w:rtl w:val="0"/>
        </w:rPr>
        <w:t xml:space="preserve">Intensifying</w:t>
      </w:r>
      <w:r w:rsidDel="00000000" w:rsidR="00000000" w:rsidRPr="00000000">
        <w:rPr>
          <w:rtl w:val="0"/>
        </w:rPr>
        <w:t xml:space="preserve"> Tech Talent War</w:t>
      </w:r>
    </w:p>
    <w:p w:rsidR="00000000" w:rsidDel="00000000" w:rsidP="00000000" w:rsidRDefault="00000000" w:rsidRPr="00000000" w14:paraId="0000001A">
      <w:pPr>
        <w:spacing w:line="360" w:lineRule="auto"/>
        <w:rPr>
          <w:color w:val="000000"/>
          <w:sz w:val="18"/>
          <w:szCs w:val="18"/>
        </w:rPr>
      </w:pPr>
      <w:r w:rsidDel="00000000" w:rsidR="00000000" w:rsidRPr="00000000">
        <w:rPr>
          <w:color w:val="000000"/>
          <w:sz w:val="18"/>
          <w:szCs w:val="18"/>
          <w:rtl w:val="0"/>
        </w:rPr>
        <w:t xml:space="preserve">Europe Struggles to Retain AI </w:t>
      </w:r>
      <w:r w:rsidDel="00000000" w:rsidR="00000000" w:rsidRPr="00000000">
        <w:rPr>
          <w:color w:val="000000"/>
          <w:sz w:val="18"/>
          <w:szCs w:val="18"/>
          <w:rtl w:val="0"/>
        </w:rPr>
        <w:t xml:space="preserve">Talent</w:t>
      </w:r>
      <w:r w:rsidDel="00000000" w:rsidR="00000000" w:rsidRPr="00000000">
        <w:rPr>
          <w:color w:val="000000"/>
          <w:sz w:val="18"/>
          <w:szCs w:val="18"/>
          <w:rtl w:val="0"/>
        </w:rPr>
        <w:t xml:space="preserve"> Amid Global Competition</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t>In today’s digital economy, demand for software engineers, data scientists, and AI specialists is growing faster than ever, as companies increasingly rely on technology to compete. These ICT specialists form the backbone of Europe’s digital transition [78]. Within the ICT sector, AI talent has emerged as the most contested segment, driven by rapid technological advances and its strategic importance for economic competitiveness. While Europe produces a high number of AI specialists, it faces challenges in retaining them, as many are drawn to more lucrative opportunities in countries such as the US or China [83]. In response to the strong pull of foreign firms, the EU is expanding investments and initiatives such as easing immigration rules for skilled workers, fostering local expertise, and leveraging strengths in research and regulation [93, 94]. However, without significantly greater scale, these efforts risk being eclipsed by the financial capital and recruitment capacity of US and Chinese tech giants [77]. Simultaneously, political shifts and targeted initiatives, along with the AI-driven automation of junior roles, are intensifying competition for senior talent [83].</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C">
      <w:pPr>
        <w:spacing w:before="240" w:line="360" w:lineRule="auto"/>
        <w:rPr/>
      </w:pPr>
      <w:r w:rsidDel="00000000" w:rsidR="00000000" w:rsidRPr="00000000">
        <w:rPr>
          <w:b w:val="1"/>
          <w:color w:val="024ea2"/>
          <w:rtl w:val="0"/>
        </w:rPr>
        <w:t xml:space="preserve">Facts</w:t>
      </w:r>
      <w:r w:rsidDel="00000000" w:rsidR="00000000" w:rsidRPr="00000000">
        <w:rPr>
          <w:rtl w:val="0"/>
        </w:rPr>
      </w:r>
    </w:p>
    <w:p w:rsidR="00000000" w:rsidDel="00000000" w:rsidP="00000000" w:rsidRDefault="00000000" w:rsidRPr="00000000" w14:paraId="0000001D">
      <w:pPr>
        <w:numPr>
          <w:ilvl w:val="0"/>
          <w:numId w:val="10"/>
        </w:numPr>
        <w:ind w:left="720" w:hanging="360"/>
      </w:pPr>
      <w:r w:rsidDel="00000000" w:rsidR="00000000" w:rsidRPr="00000000">
        <w:rPr>
          <w:rtl w:val="0"/>
        </w:rPr>
        <w:t>AI specialists are in high demand, with 75% of employers in the EU reporting shortages in 2023 [95].</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E">
      <w:pPr>
        <w:numPr>
          <w:ilvl w:val="0"/>
          <w:numId w:val="10"/>
        </w:numPr>
        <w:ind w:left="720" w:hanging="360"/>
      </w:pPr>
      <w:r w:rsidDel="00000000" w:rsidR="00000000" w:rsidRPr="00000000">
        <w:rPr>
          <w:rtl w:val="0"/>
        </w:rPr>
        <w:t>Europe trains AI talent at globally competitive levels, 30% more experts per capita than the US and nearly three times that of China, yet many leave for jobs abroad [76, 83].</w:t>
      </w:r>
      <w:r w:rsidDel="00000000" w:rsidR="00000000" w:rsidRPr="00000000">
        <w:rPr>
          <w:rtl w:val="0"/>
        </w:rPr>
      </w:r>
      <w:r w:rsidDel="00000000" w:rsidR="00000000" w:rsidRPr="00000000">
        <w:rPr>
          <w:rtl w:val="0"/>
        </w:rPr>
      </w:r>
    </w:p>
    <w:p w:rsidR="00000000" w:rsidDel="00000000" w:rsidP="00000000" w:rsidRDefault="00000000" w:rsidRPr="00000000" w14:paraId="0000001F">
      <w:pPr>
        <w:numPr>
          <w:ilvl w:val="0"/>
          <w:numId w:val="10"/>
        </w:numPr>
        <w:ind w:left="720" w:hanging="360"/>
      </w:pPr>
      <w:r w:rsidDel="00000000" w:rsidR="00000000" w:rsidRPr="00000000">
        <w:rPr>
          <w:rtl w:val="0"/>
        </w:rPr>
        <w:t>Differences in pay highlight the challenge as senior AI scientists in Europe earn far less than their US counterparts, with, for example, Meta senior scientists in the US making up to 20M USD and OpenAI researchers receiving signing bonuses of 100M USD [77, 96].</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20">
      <w:pPr>
        <w:numPr>
          <w:ilvl w:val="0"/>
          <w:numId w:val="10"/>
        </w:numPr>
        <w:ind w:left="720" w:hanging="360"/>
      </w:pPr>
      <w:r w:rsidDel="00000000" w:rsidR="00000000" w:rsidRPr="00000000">
        <w:rPr>
          <w:rtl w:val="0"/>
        </w:rPr>
        <w:t>Following recent funding cuts in the US, 75% of researchers consider relocating to Europe or Canada, creating a unique opportunity that Europe tries to capture with initiatives such as “Choose Europe” [94, 97].</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21">
      <w:pPr>
        <w:spacing w:before="240" w:line="360" w:lineRule="auto"/>
        <w:rPr>
          <w:b w:val="1"/>
          <w:color w:val="024ea2"/>
        </w:rPr>
      </w:pPr>
      <w:r w:rsidDel="00000000" w:rsidR="00000000" w:rsidRPr="00000000">
        <w:rPr>
          <w:b w:val="1"/>
          <w:color w:val="024ea2"/>
          <w:rtl w:val="0"/>
        </w:rPr>
        <w:t xml:space="preserve">Key Drivers</w:t>
      </w:r>
    </w:p>
    <w:p w:rsidR="00000000" w:rsidDel="00000000" w:rsidP="00000000" w:rsidRDefault="00000000" w:rsidRPr="00000000" w14:paraId="00000022">
      <w:pPr>
        <w:keepNext w:val="0"/>
        <w:keepLines w:val="0"/>
        <w:pageBreakBefore w:val="0"/>
        <w:widowControl w:val="1"/>
        <w:numPr>
          <w:ilvl w:val="0"/>
          <w:numId w:val="10"/>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Despite declining software engineer salaries, specialized skills in AI, cloud computing, and cybersecurity remain in high demand, creating selective talent shortages. [83].</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10"/>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Beyond pay, factors such as strong universities, English-language proficiency, and vibrant tech ecosystems shape a region’s attractiveness to AI talent [83].</w:t>
      </w:r>
      <w:r w:rsidDel="00000000" w:rsidR="00000000" w:rsidRPr="00000000">
        <w:rPr>
          <w:rtl w:val="0"/>
        </w:rPr>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6"/>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US tech companies influence AI education and talent development by offering free learning resources, which both widen training gaps across regions and help them attract the world’s top professionals [98, 99].</w:t>
      </w:r>
      <w:r w:rsidDel="00000000" w:rsidR="00000000" w:rsidRPr="00000000">
        <w:rPr>
          <w:rtl w:val="0"/>
        </w:rPr>
      </w:r>
    </w:p>
    <w:p w:rsidR="00000000" w:rsidDel="00000000" w:rsidP="00000000" w:rsidRDefault="00000000" w:rsidRPr="00000000" w14:paraId="00000025">
      <w:pPr>
        <w:spacing w:before="240" w:line="360" w:lineRule="auto"/>
        <w:rPr/>
      </w:pPr>
      <w:r w:rsidDel="00000000" w:rsidR="00000000" w:rsidRPr="00000000">
        <w:rPr>
          <w:b w:val="1"/>
          <w:color w:val="024ea2"/>
          <w:rtl w:val="0"/>
        </w:rPr>
        <w:t xml:space="preserve">Challenges</w:t>
      </w:r>
      <w:r w:rsidDel="00000000" w:rsidR="00000000" w:rsidRPr="00000000">
        <w:rPr>
          <w:rtl w:val="0"/>
        </w:rPr>
      </w:r>
    </w:p>
    <w:p w:rsidR="00000000" w:rsidDel="00000000" w:rsidP="00000000" w:rsidRDefault="00000000" w:rsidRPr="00000000" w14:paraId="00000026">
      <w:pPr>
        <w:numPr>
          <w:ilvl w:val="0"/>
          <w:numId w:val="11"/>
        </w:numPr>
        <w:ind w:left="720" w:hanging="360"/>
      </w:pPr>
      <w:r w:rsidDel="00000000" w:rsidR="00000000" w:rsidRPr="00000000">
        <w:rPr>
          <w:rtl w:val="0"/>
        </w:rPr>
        <w:t>Attracting global talent is constrained by fragmented regulations, complex visa procedures, and non-English-speaking workplaces, which limit Europe’s pull compared to larger English-speaking ecosystems [83].</w:t>
      </w:r>
    </w:p>
    <w:p w:rsidR="00000000" w:rsidDel="00000000" w:rsidP="00000000" w:rsidRDefault="00000000" w:rsidRPr="00000000" w14:paraId="00000027">
      <w:pPr>
        <w:numPr>
          <w:ilvl w:val="0"/>
          <w:numId w:val="11"/>
        </w:numPr>
        <w:ind w:left="720" w:hanging="360"/>
      </w:pPr>
      <w:r w:rsidDel="00000000" w:rsidR="00000000" w:rsidRPr="00000000">
        <w:rPr>
          <w:rtl w:val="0"/>
        </w:rPr>
        <w:t>Retaining top specialists is equally difficult, as higher salaries, resources, and prestige abroad continue to draw them away. Highly skilled professionals also gravitate toward established clusters of excellence, reinforcing the dominance of US hubs and creating a self-perpetuating cycle that weakens Europe’s ability to scale its own ecosystems [83, 100].</w:t>
      </w:r>
    </w:p>
    <w:p w:rsidR="00000000" w:rsidDel="00000000" w:rsidP="00000000" w:rsidRDefault="00000000" w:rsidRPr="00000000" w14:paraId="00000028">
      <w:pPr>
        <w:spacing w:before="240" w:line="360" w:lineRule="auto"/>
        <w:rPr>
          <w:b w:val="1"/>
          <w:color w:val="024ea2"/>
        </w:rPr>
      </w:pPr>
      <w:r w:rsidDel="00000000" w:rsidR="00000000" w:rsidRPr="00000000">
        <w:rPr>
          <w:b w:val="1"/>
          <w:color w:val="024ea2"/>
          <w:rtl w:val="0"/>
        </w:rPr>
        <w:t xml:space="preserve">Impact</w:t>
      </w:r>
      <w:r w:rsidDel="00000000" w:rsidR="00000000" w:rsidRPr="00000000">
        <w:rPr>
          <w:b w:val="1"/>
          <w:color w:val="024ea2"/>
          <w:rtl w:val="0"/>
        </w:rPr>
        <w:t xml:space="preserve"> on Digital Sovereignty</w:t>
      </w:r>
    </w:p>
    <w:p w:rsidR="00000000" w:rsidDel="00000000" w:rsidP="00000000" w:rsidRDefault="00000000" w:rsidRPr="00000000" w14:paraId="00000029">
      <w:pPr>
        <w:rPr/>
      </w:pPr>
      <w:r w:rsidDel="00000000" w:rsidR="00000000" w:rsidRPr="00000000">
        <w:rPr>
          <w:rtl w:val="0"/>
        </w:rPr>
        <w:t xml:space="preserve">When Europe not only trains but also successfully attracts and retains tech talent, it builds a more resilient and self-sustaining digital ecosystem, constituting a key pillar of digital sovereignty. </w:t>
      </w:r>
      <w:r w:rsidDel="00000000" w:rsidR="00000000" w:rsidRPr="00000000">
        <w:rPr>
          <w:rtl w:val="0"/>
        </w:rPr>
        <w:t xml:space="preserve">Without a skilled workforce, innovation stagnates and Europe risks ceding control over the design, deployment, and governance of critical technologies such as AI, thereby becoming dependent on foreign solutions</w:t>
      </w:r>
      <w:r w:rsidDel="00000000" w:rsidR="00000000" w:rsidRPr="00000000">
        <w:rPr>
          <w:rtl w:val="0"/>
        </w:rPr>
        <w:t xml:space="preserve">. In this context, s</w:t>
      </w:r>
      <w:r w:rsidDel="00000000" w:rsidR="00000000" w:rsidRPr="00000000">
        <w:rPr>
          <w:rtl w:val="0"/>
        </w:rPr>
        <w:t xml:space="preserve">killed talent is the foundation for developing competitive Europe-based digital alternatives with comparable or superior capabilities. Securing digital sovereignty, therefore, hinges on Europe’s ability to attract, retain, and effectively deploy this expertise.</w:t>
      </w: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pStyle w:val="Title"/>
        <w:rPr/>
      </w:pPr>
      <w:bookmarkStart w:colFirst="0" w:colLast="0" w:name="_heading=h.20u9r6le34vr" w:id="3"/>
      <w:bookmarkEnd w:id="3"/>
      <w:r w:rsidDel="00000000" w:rsidR="00000000" w:rsidRPr="00000000">
        <w:br w:type="page"/>
      </w:r>
      <w:r w:rsidDel="00000000" w:rsidR="00000000" w:rsidRPr="00000000">
        <w:rPr>
          <w:rtl w:val="0"/>
        </w:rPr>
      </w:r>
    </w:p>
    <w:p w:rsidR="00000000" w:rsidDel="00000000" w:rsidP="00000000" w:rsidRDefault="00000000" w:rsidRPr="00000000" w14:paraId="0000002D">
      <w:pPr>
        <w:pStyle w:val="Title"/>
        <w:numPr>
          <w:ilvl w:val="0"/>
          <w:numId w:val="1"/>
        </w:numPr>
        <w:ind w:left="720" w:hanging="360"/>
        <w:rPr>
          <w:u w:val="none"/>
        </w:rPr>
      </w:pPr>
      <w:bookmarkStart w:colFirst="0" w:colLast="0" w:name="_heading=h.3ygtdjf76vo9" w:id="4"/>
      <w:bookmarkEnd w:id="4"/>
      <w:r w:rsidDel="00000000" w:rsidR="00000000" w:rsidRPr="00000000">
        <w:rPr>
          <w:rtl w:val="0"/>
        </w:rPr>
        <w:t xml:space="preserve">Widening</w:t>
      </w:r>
      <w:r w:rsidDel="00000000" w:rsidR="00000000" w:rsidRPr="00000000">
        <w:rPr>
          <w:rtl w:val="0"/>
        </w:rPr>
        <w:t xml:space="preserve"> Digital Literacy Gap</w:t>
      </w:r>
    </w:p>
    <w:p w:rsidR="00000000" w:rsidDel="00000000" w:rsidP="00000000" w:rsidRDefault="00000000" w:rsidRPr="00000000" w14:paraId="0000002E">
      <w:pPr>
        <w:spacing w:line="360" w:lineRule="auto"/>
        <w:rPr>
          <w:color w:val="000000"/>
          <w:sz w:val="18"/>
          <w:szCs w:val="18"/>
        </w:rPr>
      </w:pPr>
      <w:r w:rsidDel="00000000" w:rsidR="00000000" w:rsidRPr="00000000">
        <w:rPr>
          <w:color w:val="000000"/>
          <w:sz w:val="18"/>
          <w:szCs w:val="18"/>
          <w:rtl w:val="0"/>
        </w:rPr>
        <w:t xml:space="preserve">Technological Progress Outpaces Digital Literacy, Creating a Knowledge Gap</w:t>
      </w:r>
    </w:p>
    <w:p w:rsidR="00000000" w:rsidDel="00000000" w:rsidP="00000000" w:rsidRDefault="00000000" w:rsidRPr="00000000" w14:paraId="0000002F">
      <w:pPr>
        <w:rPr/>
      </w:pPr>
      <w:r w:rsidDel="00000000" w:rsidR="00000000" w:rsidRPr="00000000">
        <w:rPr>
          <w:rtl w:val="0"/>
        </w:rPr>
        <w:t>Digital technologies are evolving faster than people’s ability to use them effectively, leading to a digital skills shortfall [74]. Among European countries, Germany’s digital literacy is below average with most other countries lagging behind their goals [101]. International assessments show that many students remain stuck at basic proficiency levels, while older generations face uneven access to upskilling opportunities, depending on factors such as region, occupation, and socioeconomic background [102]. Even Generations Z and Alpha, despite high technology adoption rates, often lack advanced technical skills going beyond mere consumption [103]. However, these skills are essential both to drive innovation for competitive European alternatives and to implement cybersecurity measures needed to protect Europe’s infrastructure from foreign interference. Without a strong foundation ranging from coding to advanced AI expertise, Europe risks dependence on external technologies and talent [78]. Closing this knowledge gap requires coordinated efforts from schools, employers, and governments to build a workforce capable of meeting the demands of digital sovereignty.</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pPr>
      <w:r w:rsidDel="00000000" w:rsidR="00000000" w:rsidRPr="00000000">
        <w:rPr>
          <w:b w:val="1"/>
          <w:color w:val="024ea2"/>
          <w:rtl w:val="0"/>
        </w:rPr>
        <w:t xml:space="preserve">Facts</w:t>
      </w:r>
      <w:r w:rsidDel="00000000" w:rsidR="00000000" w:rsidRPr="00000000">
        <w:rPr>
          <w:rtl w:val="0"/>
        </w:rPr>
      </w:r>
    </w:p>
    <w:p w:rsidR="00000000" w:rsidDel="00000000" w:rsidP="00000000" w:rsidRDefault="00000000" w:rsidRPr="00000000" w14:paraId="00000032">
      <w:pPr>
        <w:numPr>
          <w:ilvl w:val="0"/>
          <w:numId w:val="2"/>
        </w:numPr>
        <w:ind w:left="720" w:hanging="360"/>
      </w:pPr>
      <w:r w:rsidDel="00000000" w:rsidR="00000000" w:rsidRPr="00000000">
        <w:rPr>
          <w:rtl w:val="0"/>
        </w:rPr>
        <w:t>In the US, close to 60% of adults struggle with basic digital tasks, while EU performance varies widely: Nordic countries like Finland outperform the US, but several EU states show declining skills [101, 104].</w:t>
      </w:r>
      <w:r w:rsidDel="00000000" w:rsidR="00000000" w:rsidRPr="00000000">
        <w:rPr>
          <w:rtl w:val="0"/>
        </w:rPr>
      </w:r>
      <w:r w:rsidDel="00000000" w:rsidR="00000000" w:rsidRPr="00000000">
        <w:rPr>
          <w:rtl w:val="0"/>
        </w:rPr>
      </w:r>
    </w:p>
    <w:p w:rsidR="00000000" w:rsidDel="00000000" w:rsidP="00000000" w:rsidRDefault="00000000" w:rsidRPr="00000000" w14:paraId="00000033">
      <w:pPr>
        <w:numPr>
          <w:ilvl w:val="0"/>
          <w:numId w:val="2"/>
        </w:numPr>
        <w:ind w:left="720" w:hanging="360"/>
      </w:pPr>
      <w:r w:rsidDel="00000000" w:rsidR="00000000" w:rsidRPr="00000000">
        <w:rPr>
          <w:rtl w:val="0"/>
        </w:rPr>
        <w:t>Finland has treated digital literacy as a "civic competence" since the 1970s by embedding it in school curricula. This long-term commitment has positioned the country as second in the EU, with 82% of the population having at least basic digital skills [75].</w:t>
      </w:r>
      <w:r w:rsidDel="00000000" w:rsidR="00000000" w:rsidRPr="00000000">
        <w:rPr>
          <w:rtl w:val="0"/>
        </w:rPr>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Digital skills are increasingly essential for employment, with 90% of jobs now requiring at least basic digital competencies [105].</w:t>
      </w:r>
      <w:r w:rsidDel="00000000" w:rsidR="00000000" w:rsidRPr="00000000">
        <w:rPr>
          <w:rtl w:val="0"/>
        </w:rPr>
      </w:r>
      <w:r w:rsidDel="00000000" w:rsidR="00000000" w:rsidRPr="00000000">
        <w:rPr>
          <w:rtl w:val="0"/>
        </w:rPr>
      </w:r>
    </w:p>
    <w:p w:rsidR="00000000" w:rsidDel="00000000" w:rsidP="00000000" w:rsidRDefault="00000000" w:rsidRPr="00000000" w14:paraId="00000035">
      <w:pPr>
        <w:spacing w:before="240" w:line="360" w:lineRule="auto"/>
        <w:rPr/>
      </w:pPr>
      <w:r w:rsidDel="00000000" w:rsidR="00000000" w:rsidRPr="00000000">
        <w:rPr>
          <w:b w:val="1"/>
          <w:color w:val="024ea2"/>
          <w:rtl w:val="0"/>
        </w:rPr>
        <w:t xml:space="preserve">Key Drivers</w:t>
      </w:r>
      <w:r w:rsidDel="00000000" w:rsidR="00000000" w:rsidRPr="00000000">
        <w:rPr>
          <w:rtl w:val="0"/>
        </w:rPr>
      </w:r>
    </w:p>
    <w:p w:rsidR="00000000" w:rsidDel="00000000" w:rsidP="00000000" w:rsidRDefault="00000000" w:rsidRPr="00000000" w14:paraId="00000036">
      <w:pPr>
        <w:numPr>
          <w:ilvl w:val="0"/>
          <w:numId w:val="5"/>
        </w:numPr>
        <w:ind w:left="720" w:hanging="360"/>
      </w:pPr>
      <w:r w:rsidDel="00000000" w:rsidR="00000000" w:rsidRPr="00000000">
        <w:rPr>
          <w:rtl w:val="0"/>
        </w:rPr>
        <w:t>Digital skills in the EU are strongly tied to education. 80% of people with higher education have at least basic skills, compared with 34% among those with low or no formal education. A lack of trained staff and rapid innovation, making lower education curricula difficult to standardize, drive this dynamic further. [75, 78].</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37">
      <w:pPr>
        <w:numPr>
          <w:ilvl w:val="0"/>
          <w:numId w:val="5"/>
        </w:numPr>
        <w:ind w:left="720" w:hanging="360"/>
        <w:rPr/>
      </w:pPr>
      <w:r w:rsidDel="00000000" w:rsidR="00000000" w:rsidRPr="00000000">
        <w:rPr>
          <w:rtl w:val="0"/>
        </w:rPr>
        <w:t>The value of digital skills lies in their application, yet widespread risk aversion and fear of failure often hinder the adoption of new technologies, thus diminishing the true impact of digital literacy [104].</w:t>
      </w:r>
    </w:p>
    <w:p w:rsidR="00000000" w:rsidDel="00000000" w:rsidP="00000000" w:rsidRDefault="00000000" w:rsidRPr="00000000" w14:paraId="00000038">
      <w:pPr>
        <w:numPr>
          <w:ilvl w:val="0"/>
          <w:numId w:val="5"/>
        </w:numPr>
        <w:ind w:left="720" w:hanging="360"/>
        <w:rPr/>
      </w:pPr>
      <w:r w:rsidDel="00000000" w:rsidR="00000000" w:rsidRPr="00000000">
        <w:rPr>
          <w:rtl w:val="0"/>
        </w:rPr>
        <w:t>Digital skills now shape who gets hired, how much they earn, and whether they can move up [105].</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39">
      <w:pPr>
        <w:spacing w:before="240" w:line="360" w:lineRule="auto"/>
        <w:rPr>
          <w:b w:val="1"/>
          <w:color w:val="024ea2"/>
        </w:rPr>
      </w:pPr>
      <w:r w:rsidDel="00000000" w:rsidR="00000000" w:rsidRPr="00000000">
        <w:rPr>
          <w:b w:val="1"/>
          <w:color w:val="024ea2"/>
          <w:rtl w:val="0"/>
        </w:rPr>
        <w:t xml:space="preserve">Challenges</w:t>
      </w:r>
    </w:p>
    <w:p w:rsidR="00000000" w:rsidDel="00000000" w:rsidP="00000000" w:rsidRDefault="00000000" w:rsidRPr="00000000" w14:paraId="0000003A">
      <w:pPr>
        <w:keepNext w:val="0"/>
        <w:keepLines w:val="0"/>
        <w:pageBreakBefore w:val="0"/>
        <w:widowControl w:val="1"/>
        <w:numPr>
          <w:ilvl w:val="0"/>
          <w:numId w:val="5"/>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Weak information literacy and critical thinking increase vulnerability to false or manipulative content, and AI tools amplify these risks. Protecting minors is especially difficult given their high digital adoption. The DSA’s age verification guidelines face criticism for restricting access without addressing the root causes of online harm [106, 107].</w:t>
      </w:r>
      <w:r w:rsidDel="00000000" w:rsidR="00000000" w:rsidRPr="00000000">
        <w:rPr>
          <w:rtl w:val="0"/>
        </w:rPr>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5"/>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Digital-by--default public services and AI-enabled workplaces steadily raise the minimum skill level needed to participate in the economy and society, increasing the risk of exclusion for those who cannot keep up [104].</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3C">
      <w:pPr>
        <w:spacing w:before="240" w:line="360" w:lineRule="auto"/>
        <w:rPr>
          <w:b w:val="1"/>
          <w:color w:val="024ea2"/>
        </w:rPr>
      </w:pPr>
      <w:r w:rsidDel="00000000" w:rsidR="00000000" w:rsidRPr="00000000">
        <w:rPr>
          <w:b w:val="1"/>
          <w:color w:val="024ea2"/>
          <w:rtl w:val="0"/>
        </w:rPr>
        <w:t xml:space="preserve">Impact on Digital Sovereignty </w:t>
      </w:r>
    </w:p>
    <w:p w:rsidR="00000000" w:rsidDel="00000000" w:rsidP="00000000" w:rsidRDefault="00000000" w:rsidRPr="00000000" w14:paraId="0000003D">
      <w:pPr>
        <w:rPr/>
      </w:pPr>
      <w:r w:rsidDel="00000000" w:rsidR="00000000" w:rsidRPr="00000000">
        <w:rPr>
          <w:rtl w:val="0"/>
        </w:rPr>
        <w:t xml:space="preserve">A digitally low-skilled population is more vulnerable to disinformation, technological lock-in, and dependence on foreign providers, directly constraining Europe’s strategic autonomy. When citizens lack the ability to verify information, manage data, or use AI responsibly, power shifts to external platforms and vendors. Low literacy levels reduce public skepticism toward non-sovereign solutions, thereby undermining </w:t>
      </w:r>
      <w:r w:rsidDel="00000000" w:rsidR="00000000" w:rsidRPr="00000000">
        <w:rPr>
          <w:rtl w:val="0"/>
        </w:rPr>
        <w:t xml:space="preserve">Europe’s capacity to protect its infrastructure and values</w:t>
      </w:r>
      <w:r w:rsidDel="00000000" w:rsidR="00000000" w:rsidRPr="00000000">
        <w:rPr>
          <w:rtl w:val="0"/>
        </w:rPr>
        <w:t xml:space="preserve">. By contrast, raising baseline skills enables informed choices, strengthens democratic resilience, and ensures that investments in data governance, cybersecurity, and AI can </w:t>
      </w:r>
      <w:r w:rsidDel="00000000" w:rsidR="00000000" w:rsidRPr="00000000">
        <w:rPr>
          <w:rtl w:val="0"/>
        </w:rPr>
        <w:t xml:space="preserve">translate into genuine digital sovereignty.</w:t>
      </w:r>
      <w:r w:rsidDel="00000000" w:rsidR="00000000" w:rsidRPr="00000000">
        <w:br w:type="page"/>
      </w:r>
      <w:r w:rsidDel="00000000" w:rsidR="00000000" w:rsidRPr="00000000">
        <w:rPr>
          <w:rtl w:val="0"/>
        </w:rPr>
      </w:r>
    </w:p>
    <w:p w:rsidR="00000000" w:rsidDel="00000000" w:rsidP="00000000" w:rsidRDefault="00000000" w:rsidRPr="00000000" w14:paraId="0000003E">
      <w:pPr>
        <w:pStyle w:val="Title"/>
        <w:numPr>
          <w:ilvl w:val="0"/>
          <w:numId w:val="1"/>
        </w:numPr>
        <w:ind w:left="720" w:hanging="360"/>
        <w:rPr>
          <w:u w:val="none"/>
        </w:rPr>
      </w:pPr>
      <w:bookmarkStart w:colFirst="0" w:colLast="0" w:name="_heading=h.9mz0spypmh71" w:id="5"/>
      <w:bookmarkEnd w:id="5"/>
      <w:r w:rsidDel="00000000" w:rsidR="00000000" w:rsidRPr="00000000">
        <w:rPr>
          <w:rtl w:val="0"/>
        </w:rPr>
        <w:t xml:space="preserve">Building European Big Tech Alternatives</w:t>
      </w:r>
      <w:r w:rsidDel="00000000" w:rsidR="00000000" w:rsidRPr="00000000">
        <w:rPr>
          <w:rtl w:val="0"/>
        </w:rPr>
      </w:r>
    </w:p>
    <w:p w:rsidR="00000000" w:rsidDel="00000000" w:rsidP="00000000" w:rsidRDefault="00000000" w:rsidRPr="00000000" w14:paraId="0000003F">
      <w:pPr>
        <w:spacing w:line="360" w:lineRule="auto"/>
        <w:rPr>
          <w:color w:val="000000"/>
          <w:sz w:val="18"/>
          <w:szCs w:val="18"/>
        </w:rPr>
      </w:pPr>
      <w:r w:rsidDel="00000000" w:rsidR="00000000" w:rsidRPr="00000000">
        <w:rPr>
          <w:color w:val="000000"/>
          <w:sz w:val="18"/>
          <w:szCs w:val="18"/>
          <w:rtl w:val="0"/>
        </w:rPr>
        <w:t xml:space="preserve">Europe Pushes Competitive Alternatives While Facing US Dominance</w:t>
      </w:r>
      <w:r w:rsidDel="00000000" w:rsidR="00000000" w:rsidRPr="00000000">
        <w:rPr>
          <w:rtl w:val="0"/>
        </w:rPr>
      </w:r>
    </w:p>
    <w:p w:rsidR="00000000" w:rsidDel="00000000" w:rsidP="00000000" w:rsidRDefault="00000000" w:rsidRPr="00000000" w14:paraId="00000040">
      <w:pPr>
        <w:rPr/>
      </w:pPr>
      <w:r w:rsidDel="00000000" w:rsidR="00000000" w:rsidRPr="00000000">
        <w:rPr>
          <w:rtl w:val="0"/>
        </w:rPr>
        <w:t>Europe’s digital sovereignty is at a crossroads. Critical infrastructure and innovation are dominated by US and Chinese platforms (e.g., Amazon and Microsoft), leaving European businesses heavily dependent on foreign providers [108]. This reliance limits the EU's ability to enforce its own rules [109]. It exposes it to extraterritorial reach and risks reducing sovereignty to regulatory theater - Europe can pass laws, but cannot enforce them when foreign providers control the infrastructure. At the same time, trust in Big Tech is eroding due to the proximity of tech leaders to the current US president, Donald Trump. Examples include them taking front-row seats at his inauguration ceremony and Microsoft disabling the International Criminal Court’s Office 365 account in the Netherlands after Trump imposed sanctions on its prosecutor [110, 111]. Biased algorithms, repeated privacy and antitrust breaches, and lobbying power in Brussels fuel perceptions that profit consistently outweighs democratic values [112]. While regulations like GDPR and the AI Act set global benchmarks, they remain insufficient without European control over the underlying tech stack.</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41">
      <w:pPr>
        <w:spacing w:before="240" w:line="360" w:lineRule="auto"/>
        <w:rPr>
          <w:b w:val="1"/>
          <w:color w:val="024ea2"/>
        </w:rPr>
      </w:pPr>
      <w:r w:rsidDel="00000000" w:rsidR="00000000" w:rsidRPr="00000000">
        <w:rPr>
          <w:b w:val="1"/>
          <w:color w:val="024ea2"/>
          <w:rtl w:val="0"/>
        </w:rPr>
        <w:t xml:space="preserve">Facts </w:t>
      </w:r>
    </w:p>
    <w:p w:rsidR="00000000" w:rsidDel="00000000" w:rsidP="00000000" w:rsidRDefault="00000000" w:rsidRPr="00000000" w14:paraId="00000042">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pPr>
      <w:r w:rsidDel="00000000" w:rsidR="00000000" w:rsidRPr="00000000">
        <w:rPr>
          <w:rtl w:val="0"/>
        </w:rPr>
        <w:t>Due to the US's dominance in Europe’s tech stack (with a market share of more than 80% in European cloud and 40 out of 58 major AI models in 2024), three in four European businesses would not survive without US tech [73, 113, 114].</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43">
      <w:pPr>
        <w:numPr>
          <w:ilvl w:val="0"/>
          <w:numId w:val="2"/>
        </w:numPr>
        <w:ind w:left="720" w:hanging="360"/>
        <w:rPr>
          <w:u w:val="none"/>
        </w:rPr>
      </w:pPr>
      <w:r w:rsidDel="00000000" w:rsidR="00000000" w:rsidRPr="00000000">
        <w:rPr>
          <w:rtl w:val="0"/>
        </w:rPr>
        <w:t>Public trust in Big Tech is declining, yet usage continues to rise, deepening individual dependence [115].</w:t>
      </w:r>
    </w:p>
    <w:p w:rsidR="00000000" w:rsidDel="00000000" w:rsidP="00000000" w:rsidRDefault="00000000" w:rsidRPr="00000000" w14:paraId="00000044">
      <w:pPr>
        <w:numPr>
          <w:ilvl w:val="0"/>
          <w:numId w:val="2"/>
        </w:numPr>
        <w:ind w:left="720" w:hanging="360"/>
        <w:rPr>
          <w:u w:val="none"/>
        </w:rPr>
      </w:pPr>
      <w:r w:rsidDel="00000000" w:rsidR="00000000" w:rsidRPr="00000000">
        <w:rPr>
          <w:rtl w:val="0"/>
        </w:rPr>
        <w:t>Nearly half of citizens call for stricter EU tech regulation, while US Big Tech has boosted EU lobbying from 96M EUR (2021) to 113M EUR (2023), now occupying four of the top six lobbying spots [116, 117].</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45">
      <w:pPr>
        <w:ind w:left="0" w:firstLine="0"/>
        <w:rPr/>
      </w:pPr>
      <w:r w:rsidDel="00000000" w:rsidR="00000000" w:rsidRPr="00000000">
        <w:rPr>
          <w:b w:val="1"/>
          <w:color w:val="024ea2"/>
          <w:rtl w:val="0"/>
        </w:rPr>
        <w:t xml:space="preserve">Key Drivers</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8"/>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Skepticism toward Big Tech is growing, fueled by algorithms that reinforce social biases, such as Meta's job-ad algorithm, which has been shown to exhibit gender bias [118].</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8"/>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 xml:space="preserve">Political tensions over US policies, such as technological “kill switches” (i.e., mechanisms to remotely shut down systems), undermine the reliability of digital infrastructure [111, 119]. </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8"/>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Diverging transatlantic approaches to AI governance create first-mover advantages for European companies that can scale privacy-by-design and explainable AI technologies to global markets [120]</w:t>
      </w:r>
      <w:r w:rsidDel="00000000" w:rsidR="00000000" w:rsidRPr="00000000">
        <w:rPr>
          <w:rtl w:val="0"/>
        </w:rPr>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024ea2"/>
        </w:rPr>
      </w:pPr>
      <w:r w:rsidDel="00000000" w:rsidR="00000000" w:rsidRPr="00000000">
        <w:rPr>
          <w:b w:val="1"/>
          <w:color w:val="024ea2"/>
          <w:rtl w:val="0"/>
        </w:rPr>
        <w:t xml:space="preserve">Challenges</w:t>
      </w:r>
    </w:p>
    <w:p w:rsidR="00000000" w:rsidDel="00000000" w:rsidP="00000000" w:rsidRDefault="00000000" w:rsidRPr="00000000" w14:paraId="0000004A">
      <w:pPr>
        <w:numPr>
          <w:ilvl w:val="0"/>
          <w:numId w:val="8"/>
        </w:numPr>
        <w:ind w:left="720" w:hanging="360"/>
        <w:rPr/>
      </w:pPr>
      <w:r w:rsidDel="00000000" w:rsidR="00000000" w:rsidRPr="00000000">
        <w:rPr>
          <w:rtl w:val="0"/>
        </w:rPr>
        <w:t>The AI race favors compute-rich ecosystems outside Europe, with US and Chinese firms dominating cloud, GPU infrastructure, and AI-optimized platforms, creating economies of scale and high entry barriers [113, 114].</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4B">
      <w:pPr>
        <w:numPr>
          <w:ilvl w:val="0"/>
          <w:numId w:val="8"/>
        </w:numPr>
        <w:ind w:left="720" w:hanging="360"/>
        <w:rPr/>
      </w:pPr>
      <w:r w:rsidDel="00000000" w:rsidR="00000000" w:rsidRPr="00000000">
        <w:rPr>
          <w:rtl w:val="0"/>
        </w:rPr>
        <w:t>European firms struggle to access the large-scale datasets required for competitive AI while complying with privacy and copyright laws [121].</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4C">
      <w:pPr>
        <w:numPr>
          <w:ilvl w:val="0"/>
          <w:numId w:val="8"/>
        </w:numPr>
        <w:ind w:left="720" w:hanging="360"/>
        <w:rPr/>
      </w:pPr>
      <w:r w:rsidDel="00000000" w:rsidR="00000000" w:rsidRPr="00000000">
        <w:rPr>
          <w:rtl w:val="0"/>
        </w:rPr>
        <w:t>Fines for Big Tech misconduct, including 700M EUR against Apple and Meta in 2025 and 3B EUR against Google in 2025, have had a limited impact on behavior and failed to deter violations [122, 123, 124, 125].</w:t>
      </w:r>
    </w:p>
    <w:p w:rsidR="00000000" w:rsidDel="00000000" w:rsidP="00000000" w:rsidRDefault="00000000" w:rsidRPr="00000000" w14:paraId="0000004D">
      <w:pPr>
        <w:spacing w:before="240" w:line="360" w:lineRule="auto"/>
        <w:rPr>
          <w:b w:val="1"/>
          <w:color w:val="024ea2"/>
        </w:rPr>
      </w:pPr>
      <w:r w:rsidDel="00000000" w:rsidR="00000000" w:rsidRPr="00000000">
        <w:rPr>
          <w:b w:val="1"/>
          <w:color w:val="024ea2"/>
          <w:rtl w:val="0"/>
        </w:rPr>
        <w:t xml:space="preserve">Impact on Digital Sovereignty </w:t>
      </w:r>
    </w:p>
    <w:p w:rsidR="00000000" w:rsidDel="00000000" w:rsidP="00000000" w:rsidRDefault="00000000" w:rsidRPr="00000000" w14:paraId="0000004E">
      <w:pPr>
        <w:rPr/>
      </w:pPr>
      <w:r w:rsidDel="00000000" w:rsidR="00000000" w:rsidRPr="00000000">
        <w:rPr>
          <w:rtl w:val="0"/>
        </w:rPr>
        <w:t xml:space="preserve">As US Big Tech firms cultivate ties to the Trump administration, fears of potential “kill switches” in American technology resurface. This fuels growing mistrust of US platforms, even as Europe remains deeply dependent on them for critical infrastructure. Without </w:t>
      </w:r>
      <w:r w:rsidDel="00000000" w:rsidR="00000000" w:rsidRPr="00000000">
        <w:rPr>
          <w:rtl w:val="0"/>
        </w:rPr>
        <w:t xml:space="preserve">homegrown AI</w:t>
      </w:r>
      <w:r w:rsidDel="00000000" w:rsidR="00000000" w:rsidRPr="00000000">
        <w:rPr>
          <w:rtl w:val="0"/>
        </w:rPr>
        <w:t xml:space="preserve"> and cloud ecosystems,</w:t>
      </w:r>
      <w:r w:rsidDel="00000000" w:rsidR="00000000" w:rsidRPr="00000000">
        <w:rPr>
          <w:rtl w:val="0"/>
        </w:rPr>
        <w:t xml:space="preserve"> European sovereignty risks becoming </w:t>
      </w:r>
      <w:r w:rsidDel="00000000" w:rsidR="00000000" w:rsidRPr="00000000">
        <w:rPr>
          <w:rtl w:val="0"/>
        </w:rPr>
        <w:t xml:space="preserve">performative. Genuine digital autonomy requires more than regulating foreign providers. It demands building infrastructure on European soil that embodies European values. By investing in trusted alternatives, Europe can safeguard its cultural identity, bolster its resilience, and shift from being a consumer and “referee” to a technology provider. Only then will businesses and citizens have a genuine choice between </w:t>
      </w:r>
      <w:r w:rsidDel="00000000" w:rsidR="00000000" w:rsidRPr="00000000">
        <w:rPr>
          <w:rtl w:val="0"/>
        </w:rPr>
        <w:t xml:space="preserve">US and Chinese Big Tech</w:t>
      </w:r>
      <w:r w:rsidDel="00000000" w:rsidR="00000000" w:rsidRPr="00000000">
        <w:rPr>
          <w:rtl w:val="0"/>
        </w:rPr>
        <w:t xml:space="preserve"> and competitive European solutions.</w:t>
      </w:r>
      <w:r w:rsidDel="00000000" w:rsidR="00000000" w:rsidRPr="00000000">
        <w:br w:type="page"/>
      </w:r>
      <w:r w:rsidDel="00000000" w:rsidR="00000000" w:rsidRPr="00000000">
        <w:rPr>
          <w:rtl w:val="0"/>
        </w:rPr>
      </w:r>
    </w:p>
    <w:p w:rsidR="00000000" w:rsidDel="00000000" w:rsidP="00000000" w:rsidRDefault="00000000" w:rsidRPr="00000000" w14:paraId="0000004F">
      <w:pPr>
        <w:numPr>
          <w:ilvl w:val="0"/>
          <w:numId w:val="1"/>
        </w:numPr>
        <w:ind w:left="720" w:hanging="360"/>
        <w:rPr>
          <w:b w:val="1"/>
          <w:color w:val="5b9bd5"/>
          <w:sz w:val="24"/>
          <w:szCs w:val="24"/>
          <w:u w:val="none"/>
        </w:rPr>
      </w:pPr>
      <w:r w:rsidDel="00000000" w:rsidR="00000000" w:rsidRPr="00000000">
        <w:rPr>
          <w:b w:val="1"/>
          <w:color w:val="5b9bd5"/>
          <w:sz w:val="24"/>
          <w:szCs w:val="24"/>
          <w:rtl w:val="0"/>
        </w:rPr>
        <w:t xml:space="preserve">Reconciling </w:t>
      </w:r>
      <w:r w:rsidDel="00000000" w:rsidR="00000000" w:rsidRPr="00000000">
        <w:rPr>
          <w:rFonts w:ascii="Avenir" w:cs="Avenir" w:eastAsia="Avenir" w:hAnsi="Avenir"/>
          <w:b w:val="1"/>
          <w:color w:val="5b9bd5"/>
          <w:sz w:val="24"/>
          <w:szCs w:val="24"/>
          <w:rtl w:val="0"/>
        </w:rPr>
        <w:t xml:space="preserve">Europe’s Paradox of I</w:t>
      </w:r>
      <w:r w:rsidDel="00000000" w:rsidR="00000000" w:rsidRPr="00000000">
        <w:rPr>
          <w:rFonts w:ascii="Avenir" w:cs="Avenir" w:eastAsia="Avenir" w:hAnsi="Avenir"/>
          <w:b w:val="1"/>
          <w:color w:val="5b9bd5"/>
          <w:sz w:val="24"/>
          <w:szCs w:val="24"/>
          <w:rtl w:val="0"/>
        </w:rPr>
        <w:t xml:space="preserve">dentity</w:t>
      </w:r>
      <w:r w:rsidDel="00000000" w:rsidR="00000000" w:rsidRPr="00000000">
        <w:rPr>
          <w:rtl w:val="0"/>
        </w:rPr>
      </w:r>
    </w:p>
    <w:p w:rsidR="00000000" w:rsidDel="00000000" w:rsidP="00000000" w:rsidRDefault="00000000" w:rsidRPr="00000000" w14:paraId="00000050">
      <w:pPr>
        <w:spacing w:line="360" w:lineRule="auto"/>
        <w:rPr>
          <w:b w:val="1"/>
          <w:color w:val="000000"/>
          <w:sz w:val="18"/>
          <w:szCs w:val="18"/>
        </w:rPr>
      </w:pPr>
      <w:r w:rsidDel="00000000" w:rsidR="00000000" w:rsidRPr="00000000">
        <w:rPr>
          <w:color w:val="000000"/>
          <w:sz w:val="18"/>
          <w:szCs w:val="18"/>
          <w:rtl w:val="0"/>
        </w:rPr>
        <w:t xml:space="preserve">Europeans Embrace a Collective Identity While Voting for Nationalist Leaders</w:t>
      </w:r>
      <w:r w:rsidDel="00000000" w:rsidR="00000000" w:rsidRPr="00000000">
        <w:rPr>
          <w:rtl w:val="0"/>
        </w:rPr>
      </w:r>
    </w:p>
    <w:p w:rsidR="00000000" w:rsidDel="00000000" w:rsidP="00000000" w:rsidRDefault="00000000" w:rsidRPr="00000000" w14:paraId="00000051">
      <w:pPr>
        <w:spacing w:after="0" w:before="0" w:lineRule="auto"/>
        <w:rPr/>
      </w:pPr>
      <w:r w:rsidDel="00000000" w:rsidR="00000000" w:rsidRPr="00000000">
        <w:rPr>
          <w:rtl w:val="0"/>
        </w:rPr>
        <w:t>Europe faces a striking duality in public opinion: while nationalism gains support, European identity is also rising. On the one hand, parts of Europe’s population struggle with immigration and economic insecurity [126]. These anxieties fuel support for populist and Eurosceptic movements, embedding nationalism and anti-elitism within certain societal groups [127]. On the other hand, public support for EU membership has reached record highs, with more Europeans identifying as such [79, 80]. External crises like the war in Ukraine have strengthened this collective identity, with many viewing the EU as essential for security [81]. Hybrid positions are gaining ground where people combine national pride with support for deeper EU cooperation [128]. This pattern is visible in Finland, Italy, Sweden, and Hungary, where nationalist parties gain votes while overall support for the EU rises [129]. Italy shows this duality: 88% back stronger EU cohesion yet elected a nationalist government whose current leader pairs nationalist rhetoric with pragmatic EU collaboration [80, 130].</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52">
      <w:pPr>
        <w:spacing w:before="240" w:line="360" w:lineRule="auto"/>
        <w:rPr>
          <w:b w:val="1"/>
          <w:color w:val="024ea2"/>
        </w:rPr>
      </w:pPr>
      <w:r w:rsidDel="00000000" w:rsidR="00000000" w:rsidRPr="00000000">
        <w:rPr>
          <w:b w:val="1"/>
          <w:color w:val="024ea2"/>
          <w:rtl w:val="0"/>
        </w:rPr>
        <w:t xml:space="preserve">Facts</w:t>
      </w:r>
    </w:p>
    <w:p w:rsidR="00000000" w:rsidDel="00000000" w:rsidP="00000000" w:rsidRDefault="00000000" w:rsidRPr="00000000" w14:paraId="00000053">
      <w:pPr>
        <w:numPr>
          <w:ilvl w:val="0"/>
          <w:numId w:val="9"/>
        </w:numPr>
        <w:spacing w:after="0" w:lineRule="auto"/>
        <w:ind w:left="720" w:hanging="360"/>
        <w:jc w:val="left"/>
        <w:rPr/>
      </w:pPr>
      <w:r w:rsidDel="00000000" w:rsidR="00000000" w:rsidRPr="00000000">
        <w:rPr>
          <w:rtl w:val="0"/>
        </w:rPr>
        <w:t>In 2022, 32% of Europeans voted for populist, anti-establishment parties on the far left and far right, up from 12% in the early 1990s [82].</w:t>
      </w:r>
    </w:p>
    <w:p w:rsidR="00000000" w:rsidDel="00000000" w:rsidP="00000000" w:rsidRDefault="00000000" w:rsidRPr="00000000" w14:paraId="00000054">
      <w:pPr>
        <w:numPr>
          <w:ilvl w:val="0"/>
          <w:numId w:val="9"/>
        </w:numPr>
        <w:spacing w:after="0" w:before="0" w:lineRule="auto"/>
        <w:ind w:left="720" w:hanging="360"/>
        <w:jc w:val="left"/>
        <w:rPr/>
      </w:pPr>
      <w:r w:rsidDel="00000000" w:rsidR="00000000" w:rsidRPr="00000000">
        <w:rPr>
          <w:rtl w:val="0"/>
        </w:rPr>
        <w:t>By 2024, seven EU member states had included far-right nationalist parties in their governments [129].</w:t>
      </w:r>
    </w:p>
    <w:p w:rsidR="00000000" w:rsidDel="00000000" w:rsidP="00000000" w:rsidRDefault="00000000" w:rsidRPr="00000000" w14:paraId="00000055">
      <w:pPr>
        <w:numPr>
          <w:ilvl w:val="0"/>
          <w:numId w:val="9"/>
        </w:numPr>
        <w:spacing w:after="0" w:before="0" w:lineRule="auto"/>
        <w:ind w:left="720" w:hanging="360"/>
        <w:jc w:val="left"/>
        <w:rPr/>
      </w:pPr>
      <w:r w:rsidDel="00000000" w:rsidR="00000000" w:rsidRPr="00000000">
        <w:rPr>
          <w:rtl w:val="0"/>
        </w:rPr>
        <w:t>In 2025, 74% of citizens said EU membership benefits their country, and 89% supported greater unity in addressing global challenges [80, 131].</w:t>
      </w:r>
      <w:r w:rsidDel="00000000" w:rsidR="00000000" w:rsidRPr="00000000">
        <w:rPr>
          <w:rtl w:val="0"/>
        </w:rPr>
      </w:r>
      <w:r w:rsidDel="00000000" w:rsidR="00000000" w:rsidRPr="00000000">
        <w:rPr>
          <w:rtl w:val="0"/>
        </w:rPr>
      </w:r>
    </w:p>
    <w:p w:rsidR="00000000" w:rsidDel="00000000" w:rsidP="00000000" w:rsidRDefault="00000000" w:rsidRPr="00000000" w14:paraId="00000056">
      <w:pPr>
        <w:numPr>
          <w:ilvl w:val="0"/>
          <w:numId w:val="9"/>
        </w:numPr>
        <w:spacing w:after="240" w:before="0" w:lineRule="auto"/>
        <w:ind w:left="720" w:hanging="360"/>
        <w:jc w:val="left"/>
        <w:rPr/>
      </w:pPr>
      <w:r w:rsidDel="00000000" w:rsidR="00000000" w:rsidRPr="00000000">
        <w:rPr>
          <w:rtl w:val="0"/>
        </w:rPr>
        <w:t>Trust in the EU hit an 18-year peak at 52% in 2025, with 75% identifying as EU citizens – the highest share in more than two decades [79, 80].</w:t>
      </w:r>
    </w:p>
    <w:p w:rsidR="00000000" w:rsidDel="00000000" w:rsidP="00000000" w:rsidRDefault="00000000" w:rsidRPr="00000000" w14:paraId="00000057">
      <w:pPr>
        <w:spacing w:line="360" w:lineRule="auto"/>
        <w:rPr>
          <w:b w:val="1"/>
          <w:color w:val="024ea2"/>
        </w:rPr>
      </w:pPr>
      <w:r w:rsidDel="00000000" w:rsidR="00000000" w:rsidRPr="00000000">
        <w:rPr>
          <w:b w:val="1"/>
          <w:color w:val="024ea2"/>
          <w:rtl w:val="0"/>
        </w:rPr>
        <w:t xml:space="preserve">Key Drivers</w:t>
      </w:r>
    </w:p>
    <w:p w:rsidR="00000000" w:rsidDel="00000000" w:rsidP="00000000" w:rsidRDefault="00000000" w:rsidRPr="00000000" w14:paraId="00000058">
      <w:pPr>
        <w:numPr>
          <w:ilvl w:val="0"/>
          <w:numId w:val="3"/>
        </w:numPr>
        <w:ind w:left="720" w:hanging="360"/>
        <w:jc w:val="left"/>
        <w:rPr/>
      </w:pPr>
      <w:r w:rsidDel="00000000" w:rsidR="00000000" w:rsidRPr="00000000">
        <w:rPr>
          <w:rtl w:val="0"/>
        </w:rPr>
        <w:t>Public anxieties about immigration, perceived cultural loss, and economic insecurity have increased support for populist parties, which capitalize on these fears [132].</w:t>
      </w:r>
    </w:p>
    <w:p w:rsidR="00000000" w:rsidDel="00000000" w:rsidP="00000000" w:rsidRDefault="00000000" w:rsidRPr="00000000" w14:paraId="00000059">
      <w:pPr>
        <w:numPr>
          <w:ilvl w:val="0"/>
          <w:numId w:val="3"/>
        </w:numPr>
        <w:ind w:left="720" w:hanging="360"/>
        <w:jc w:val="left"/>
        <w:rPr/>
      </w:pPr>
      <w:r w:rsidDel="00000000" w:rsidR="00000000" w:rsidRPr="00000000">
        <w:rPr>
          <w:rtl w:val="0"/>
        </w:rPr>
        <w:t>Populist parties exploit social media effectively. For example, Germany’s AfD uses TikTok to engage with disaffected young voters, surpassing traditional parties in online reach [133].</w:t>
      </w:r>
      <w:r w:rsidDel="00000000" w:rsidR="00000000" w:rsidRPr="00000000">
        <w:rPr>
          <w:rtl w:val="0"/>
        </w:rPr>
      </w:r>
      <w:r w:rsidDel="00000000" w:rsidR="00000000" w:rsidRPr="00000000">
        <w:rPr>
          <w:rtl w:val="0"/>
        </w:rPr>
      </w:r>
    </w:p>
    <w:p w:rsidR="00000000" w:rsidDel="00000000" w:rsidP="00000000" w:rsidRDefault="00000000" w:rsidRPr="00000000" w14:paraId="0000005A">
      <w:pPr>
        <w:numPr>
          <w:ilvl w:val="0"/>
          <w:numId w:val="3"/>
        </w:numPr>
        <w:spacing w:after="0" w:lineRule="auto"/>
        <w:ind w:left="720" w:hanging="360"/>
        <w:jc w:val="left"/>
        <w:rPr/>
      </w:pPr>
      <w:r w:rsidDel="00000000" w:rsidR="00000000" w:rsidRPr="00000000">
        <w:rPr>
          <w:rtl w:val="0"/>
        </w:rPr>
        <w:t>External shocks, including COVID-19 and the war in Ukraine, have strengthened Europeans’ sense of unity [81].</w:t>
      </w:r>
    </w:p>
    <w:p w:rsidR="00000000" w:rsidDel="00000000" w:rsidP="00000000" w:rsidRDefault="00000000" w:rsidRPr="00000000" w14:paraId="0000005B">
      <w:pPr>
        <w:numPr>
          <w:ilvl w:val="0"/>
          <w:numId w:val="3"/>
        </w:numPr>
        <w:spacing w:after="240" w:before="0" w:lineRule="auto"/>
        <w:ind w:left="720" w:hanging="360"/>
        <w:jc w:val="left"/>
        <w:rPr/>
      </w:pPr>
      <w:r w:rsidDel="00000000" w:rsidR="00000000" w:rsidRPr="00000000">
        <w:rPr>
          <w:rtl w:val="0"/>
        </w:rPr>
        <w:t>European integration measures, such as Erasmus, open borders, and the euro, have deepened EU identity among younger generations by shaping their daily lives and cross-border experiences [134, 135].</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5C">
      <w:pPr>
        <w:spacing w:before="240" w:line="360" w:lineRule="auto"/>
        <w:rPr>
          <w:b w:val="1"/>
          <w:color w:val="024ea2"/>
        </w:rPr>
      </w:pPr>
      <w:r w:rsidDel="00000000" w:rsidR="00000000" w:rsidRPr="00000000">
        <w:rPr>
          <w:b w:val="1"/>
          <w:color w:val="024ea2"/>
          <w:rtl w:val="0"/>
        </w:rPr>
        <w:t xml:space="preserve">Challenges</w:t>
      </w:r>
    </w:p>
    <w:p w:rsidR="00000000" w:rsidDel="00000000" w:rsidP="00000000" w:rsidRDefault="00000000" w:rsidRPr="00000000" w14:paraId="0000005D">
      <w:pPr>
        <w:numPr>
          <w:ilvl w:val="0"/>
          <w:numId w:val="12"/>
        </w:numPr>
        <w:ind w:left="720" w:hanging="360"/>
        <w:jc w:val="left"/>
        <w:rPr/>
      </w:pPr>
      <w:r w:rsidDel="00000000" w:rsidR="00000000" w:rsidRPr="00000000">
        <w:rPr>
          <w:rtl w:val="0"/>
        </w:rPr>
        <w:t>Far-right and nationalist groups are gaining popularity and consolidating around anti-EU rhetoric, which may hinder the coordination of EU policies and actions [136].</w:t>
      </w:r>
    </w:p>
    <w:p w:rsidR="00000000" w:rsidDel="00000000" w:rsidP="00000000" w:rsidRDefault="00000000" w:rsidRPr="00000000" w14:paraId="0000005E">
      <w:pPr>
        <w:numPr>
          <w:ilvl w:val="0"/>
          <w:numId w:val="12"/>
        </w:numPr>
        <w:ind w:left="720" w:hanging="360"/>
        <w:jc w:val="left"/>
        <w:rPr/>
      </w:pPr>
      <w:r w:rsidDel="00000000" w:rsidR="00000000" w:rsidRPr="00000000">
        <w:rPr>
          <w:rtl w:val="0"/>
        </w:rPr>
        <w:t>Unequal access to European opportunities, such as education, travel, and study-abroad programs, creates disparities in identification with the EU. Feeling excluded, some groups become more vulnerable to exploitation by populist parties [137].</w:t>
      </w:r>
      <w:r w:rsidDel="00000000" w:rsidR="00000000" w:rsidRPr="00000000">
        <w:rPr>
          <w:rtl w:val="0"/>
        </w:rPr>
      </w:r>
      <w:r w:rsidDel="00000000" w:rsidR="00000000" w:rsidRPr="00000000">
        <w:rPr>
          <w:rtl w:val="0"/>
        </w:rPr>
      </w:r>
    </w:p>
    <w:p w:rsidR="00000000" w:rsidDel="00000000" w:rsidP="00000000" w:rsidRDefault="00000000" w:rsidRPr="00000000" w14:paraId="0000005F">
      <w:pPr>
        <w:numPr>
          <w:ilvl w:val="0"/>
          <w:numId w:val="12"/>
        </w:numPr>
        <w:ind w:left="720" w:hanging="360"/>
        <w:jc w:val="left"/>
        <w:rPr/>
      </w:pPr>
      <w:r w:rsidDel="00000000" w:rsidR="00000000" w:rsidRPr="00000000">
        <w:rPr>
          <w:rtl w:val="0"/>
        </w:rPr>
        <w:t>National identity remains dominant across Europe, with around 90% of people feeling very close to their nation compared with 40–70% expressing strong European identity [81].</w:t>
      </w:r>
    </w:p>
    <w:p w:rsidR="00000000" w:rsidDel="00000000" w:rsidP="00000000" w:rsidRDefault="00000000" w:rsidRPr="00000000" w14:paraId="00000060">
      <w:pPr>
        <w:spacing w:after="0" w:before="240" w:line="360" w:lineRule="auto"/>
        <w:ind w:left="0" w:firstLine="0"/>
        <w:jc w:val="left"/>
        <w:rPr>
          <w:b w:val="1"/>
          <w:color w:val="024ea2"/>
        </w:rPr>
      </w:pPr>
      <w:r w:rsidDel="00000000" w:rsidR="00000000" w:rsidRPr="00000000">
        <w:rPr>
          <w:b w:val="1"/>
          <w:color w:val="024ea2"/>
          <w:rtl w:val="0"/>
        </w:rPr>
        <w:t xml:space="preserve">Impact</w:t>
      </w:r>
      <w:r w:rsidDel="00000000" w:rsidR="00000000" w:rsidRPr="00000000">
        <w:rPr>
          <w:b w:val="1"/>
          <w:color w:val="024ea2"/>
          <w:rtl w:val="0"/>
        </w:rPr>
        <w:t xml:space="preserve"> on Digital Sovereignty </w:t>
      </w:r>
    </w:p>
    <w:p w:rsidR="00000000" w:rsidDel="00000000" w:rsidP="00000000" w:rsidRDefault="00000000" w:rsidRPr="00000000" w14:paraId="00000061">
      <w:pPr>
        <w:spacing w:after="0" w:before="0" w:lineRule="auto"/>
        <w:rPr/>
      </w:pPr>
      <w:r w:rsidDel="00000000" w:rsidR="00000000" w:rsidRPr="00000000">
        <w:rPr>
          <w:rtl w:val="0"/>
        </w:rPr>
        <w:t xml:space="preserve">A strong </w:t>
      </w:r>
      <w:r w:rsidDel="00000000" w:rsidR="00000000" w:rsidRPr="00000000">
        <w:rPr>
          <w:rtl w:val="0"/>
        </w:rPr>
        <w:t xml:space="preserve">EU identity</w:t>
      </w:r>
      <w:r w:rsidDel="00000000" w:rsidR="00000000" w:rsidRPr="00000000">
        <w:rPr>
          <w:rtl w:val="0"/>
        </w:rPr>
        <w:t xml:space="preserve"> and trust in EU institutions strengthen digital sovereignty, as c</w:t>
      </w:r>
      <w:r w:rsidDel="00000000" w:rsidR="00000000" w:rsidRPr="00000000">
        <w:rPr>
          <w:rtl w:val="0"/>
        </w:rPr>
        <w:t xml:space="preserve">itizens identifying</w:t>
      </w:r>
      <w:r w:rsidDel="00000000" w:rsidR="00000000" w:rsidRPr="00000000">
        <w:rPr>
          <w:rtl w:val="0"/>
        </w:rPr>
        <w:t xml:space="preserve"> as European are more likely to purchase EU products. They also show greater willingness to pay a premium for European products over</w:t>
      </w:r>
      <w:r w:rsidDel="00000000" w:rsidR="00000000" w:rsidRPr="00000000">
        <w:rPr>
          <w:rtl w:val="0"/>
        </w:rPr>
        <w:t xml:space="preserve"> lower-priced foreign alternatives.</w:t>
      </w:r>
      <w:r w:rsidDel="00000000" w:rsidR="00000000" w:rsidRPr="00000000">
        <w:rPr>
          <w:rtl w:val="0"/>
        </w:rPr>
        <w:t xml:space="preserve"> However, nationalism at both societal and political levels can hinder these efforts, as Eurosceptic parties may advocate for anti-EU policies. The Italian case illustrates Europe's identity paradox evolving into a </w:t>
      </w:r>
      <w:r w:rsidDel="00000000" w:rsidR="00000000" w:rsidRPr="00000000">
        <w:rPr>
          <w:rtl w:val="0"/>
        </w:rPr>
        <w:t xml:space="preserve">hybrid political stance,</w:t>
      </w:r>
      <w:r w:rsidDel="00000000" w:rsidR="00000000" w:rsidRPr="00000000">
        <w:rPr>
          <w:rtl w:val="0"/>
        </w:rPr>
        <w:t xml:space="preserve"> in which citizens combine national pride with strong EU identification. Leaders use nationalist rhetoric domestically while advancing projects at the EU level. </w:t>
      </w:r>
      <w:r w:rsidDel="00000000" w:rsidR="00000000" w:rsidRPr="00000000">
        <w:rPr>
          <w:rtl w:val="0"/>
        </w:rPr>
        <w:t xml:space="preserve">This hybrid approach is likely to spread, shaping sovereignty not as a choice between nation and Europe, but as their synthesis.</w:t>
      </w:r>
      <w:r w:rsidDel="00000000" w:rsidR="00000000" w:rsidRPr="00000000">
        <w:rPr>
          <w:rtl w:val="0"/>
        </w:rPr>
      </w:r>
    </w:p>
    <w:sectPr>
      <w:headerReference r:id="rId7" w:type="default"/>
      <w:footerReference r:id="rId8" w:type="default"/>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3">
    <w:pPr>
      <w:rPr>
        <w:rFonts w:ascii="Arial" w:cs="Arial" w:eastAsia="Arial" w:hAnsi="Arial"/>
      </w:rPr>
    </w:pPr>
    <w:r w:rsidDel="00000000" w:rsidR="00000000" w:rsidRPr="00000000">
      <w:rPr>
        <w:rFonts w:ascii="Arial" w:cs="Arial" w:eastAsia="Arial" w:hAnsi="Arial"/>
        <w:rtl w:val="0"/>
      </w:rPr>
      <w:tab/>
      <w:t xml:space="preserve">-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rtl w:val="0"/>
      </w:rPr>
      <w:t xml:space="preserve"> /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Fonts w:ascii="Arial" w:cs="Arial" w:eastAsia="Arial" w:hAnsi="Arial"/>
        <w:rtl w:val="0"/>
      </w:rPr>
      <w:t xml:space="preserve"> -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2">
    <w:pPr>
      <w:pBdr>
        <w:bottom w:color="000000" w:space="1" w:sz="4" w:val="single"/>
      </w:pBdr>
      <w:tabs>
        <w:tab w:val="left" w:leader="none" w:pos="7795"/>
      </w:tabs>
      <w:rPr/>
    </w:pPr>
    <w:r w:rsidDel="00000000" w:rsidR="00000000" w:rsidRPr="00000000">
      <w:rPr>
        <w:rtl w:val="0"/>
      </w:rPr>
      <w:t xml:space="preserve">Trend Phase: Society, Team Members: Hanano Shiga, Salan Isaqzoi, Malte Oberhoff, Joe Lammers, Estelle Kulow, Phase: Basic</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80" w:lineRule="auto"/>
    </w:pPr>
    <w:rPr>
      <w:rFonts w:ascii="Arial" w:cs="Arial" w:eastAsia="Arial" w:hAnsi="Arial"/>
      <w:sz w:val="40"/>
      <w:szCs w:val="40"/>
    </w:rPr>
  </w:style>
  <w:style w:type="paragraph" w:styleId="Heading2">
    <w:name w:val="heading 2"/>
    <w:basedOn w:val="Normal"/>
    <w:next w:val="Normal"/>
    <w:pPr>
      <w:keepNext w:val="1"/>
      <w:keepLines w:val="1"/>
      <w:spacing w:after="200" w:before="360" w:lineRule="auto"/>
    </w:pPr>
    <w:rPr>
      <w:rFonts w:ascii="Arial" w:cs="Arial" w:eastAsia="Arial" w:hAnsi="Arial"/>
      <w:sz w:val="34"/>
      <w:szCs w:val="34"/>
    </w:rPr>
  </w:style>
  <w:style w:type="paragraph" w:styleId="Heading3">
    <w:name w:val="heading 3"/>
    <w:basedOn w:val="Normal"/>
    <w:next w:val="Normal"/>
    <w:pPr>
      <w:keepNext w:val="1"/>
      <w:keepLines w:val="1"/>
      <w:spacing w:after="200" w:before="320" w:lineRule="auto"/>
    </w:pPr>
    <w:rPr>
      <w:rFonts w:ascii="Arial" w:cs="Arial" w:eastAsia="Arial" w:hAnsi="Arial"/>
      <w:sz w:val="30"/>
      <w:szCs w:val="30"/>
    </w:rPr>
  </w:style>
  <w:style w:type="paragraph" w:styleId="Heading4">
    <w:name w:val="heading 4"/>
    <w:basedOn w:val="Normal"/>
    <w:next w:val="Normal"/>
    <w:pPr>
      <w:keepNext w:val="1"/>
      <w:keepLines w:val="1"/>
      <w:spacing w:after="200" w:before="320" w:lineRule="auto"/>
    </w:pPr>
    <w:rPr>
      <w:rFonts w:ascii="Arial" w:cs="Arial" w:eastAsia="Arial" w:hAnsi="Arial"/>
      <w:b w:val="1"/>
      <w:sz w:val="26"/>
      <w:szCs w:val="26"/>
    </w:rPr>
  </w:style>
  <w:style w:type="paragraph" w:styleId="Heading5">
    <w:name w:val="heading 5"/>
    <w:basedOn w:val="Normal"/>
    <w:next w:val="Normal"/>
    <w:pPr>
      <w:keepNext w:val="1"/>
      <w:keepLines w:val="1"/>
      <w:spacing w:after="200" w:before="320" w:lineRule="auto"/>
    </w:pPr>
    <w:rPr>
      <w:rFonts w:ascii="Arial" w:cs="Arial" w:eastAsia="Arial" w:hAnsi="Arial"/>
      <w:b w:val="1"/>
      <w:sz w:val="24"/>
      <w:szCs w:val="24"/>
    </w:rPr>
  </w:style>
  <w:style w:type="paragraph" w:styleId="Heading6">
    <w:name w:val="heading 6"/>
    <w:basedOn w:val="Normal"/>
    <w:next w:val="Normal"/>
    <w:pPr>
      <w:keepNext w:val="1"/>
      <w:keepLines w:val="1"/>
      <w:spacing w:after="200" w:before="320" w:lineRule="auto"/>
    </w:pPr>
    <w:rPr>
      <w:rFonts w:ascii="Arial" w:cs="Arial" w:eastAsia="Arial" w:hAnsi="Arial"/>
      <w:b w:val="1"/>
      <w:sz w:val="22"/>
      <w:szCs w:val="22"/>
    </w:rPr>
  </w:style>
  <w:style w:type="paragraph" w:styleId="Title">
    <w:name w:val="Title"/>
    <w:basedOn w:val="Normal"/>
    <w:next w:val="Normal"/>
    <w:pPr/>
    <w:rPr>
      <w:b w:val="1"/>
      <w:color w:val="5b9bd5"/>
      <w:sz w:val="24"/>
      <w:szCs w:val="24"/>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1"/>
    <w:uiPriority w:val="9"/>
    <w:unhideWhenUsed w:val="1"/>
    <w:qFormat w:val="1"/>
    <w:pPr>
      <w:keepNext w:val="1"/>
      <w:keepLines w:val="1"/>
      <w:spacing w:after="200" w:before="320"/>
      <w:outlineLvl w:val="6"/>
    </w:pPr>
    <w:rPr>
      <w:rFonts w:ascii="Arial" w:cs="Arial" w:eastAsia="Arial" w:hAnsi="Arial"/>
      <w:b w:val="1"/>
      <w:bCs w:val="1"/>
      <w:i w:val="1"/>
      <w:iCs w:val="1"/>
      <w:sz w:val="22"/>
      <w:szCs w:val="22"/>
    </w:rPr>
  </w:style>
  <w:style w:type="paragraph" w:styleId="Heading8">
    <w:name w:val="heading 8"/>
    <w:basedOn w:val="Normal"/>
    <w:next w:val="Normal"/>
    <w:link w:val="Heading8Char1"/>
    <w:uiPriority w:val="9"/>
    <w:unhideWhenUsed w:val="1"/>
    <w:qFormat w:val="1"/>
    <w:pPr>
      <w:keepNext w:val="1"/>
      <w:keepLines w:val="1"/>
      <w:spacing w:after="200" w:before="320"/>
      <w:outlineLvl w:val="7"/>
    </w:pPr>
    <w:rPr>
      <w:rFonts w:ascii="Arial" w:cs="Arial" w:eastAsia="Arial" w:hAnsi="Arial"/>
      <w:i w:val="1"/>
      <w:iCs w:val="1"/>
      <w:sz w:val="22"/>
      <w:szCs w:val="22"/>
    </w:rPr>
  </w:style>
  <w:style w:type="paragraph" w:styleId="Heading9">
    <w:name w:val="heading 9"/>
    <w:basedOn w:val="Normal"/>
    <w:next w:val="Normal"/>
    <w:link w:val="Heading9Char1"/>
    <w:uiPriority w:val="9"/>
    <w:unhideWhenUsed w:val="1"/>
    <w:qFormat w:val="1"/>
    <w:pPr>
      <w:keepNext w:val="1"/>
      <w:keepLines w:val="1"/>
      <w:spacing w:after="200" w:before="320"/>
      <w:outlineLvl w:val="8"/>
    </w:pPr>
    <w:rPr>
      <w:rFonts w:ascii="Arial" w:cs="Arial" w:eastAsia="Arial" w:hAnsi="Arial"/>
      <w:i w:val="1"/>
      <w:i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uiPriority w:val="9"/>
    <w:rPr>
      <w:rFonts w:ascii="Arial" w:cs="Arial" w:eastAsia="Arial" w:hAnsi="Arial"/>
      <w:sz w:val="40"/>
      <w:szCs w:val="40"/>
    </w:rPr>
  </w:style>
  <w:style w:type="character" w:styleId="Heading2Char" w:customStyle="1">
    <w:name w:val="Heading 2 Char"/>
    <w:basedOn w:val="DefaultParagraphFont"/>
    <w:uiPriority w:val="9"/>
    <w:rPr>
      <w:rFonts w:ascii="Arial" w:cs="Arial" w:eastAsia="Arial" w:hAnsi="Arial"/>
      <w:sz w:val="34"/>
    </w:rPr>
  </w:style>
  <w:style w:type="character" w:styleId="Heading3Char" w:customStyle="1">
    <w:name w:val="Heading 3 Char"/>
    <w:basedOn w:val="DefaultParagraphFont"/>
    <w:uiPriority w:val="9"/>
    <w:rPr>
      <w:rFonts w:ascii="Arial" w:cs="Arial" w:eastAsia="Arial" w:hAnsi="Arial"/>
      <w:sz w:val="30"/>
      <w:szCs w:val="30"/>
    </w:rPr>
  </w:style>
  <w:style w:type="character" w:styleId="Heading4Char" w:customStyle="1">
    <w:name w:val="Heading 4 Char"/>
    <w:basedOn w:val="DefaultParagraphFont"/>
    <w:uiPriority w:val="9"/>
    <w:rPr>
      <w:rFonts w:ascii="Arial" w:cs="Arial" w:eastAsia="Arial" w:hAnsi="Arial"/>
      <w:b w:val="1"/>
      <w:bCs w:val="1"/>
      <w:sz w:val="26"/>
      <w:szCs w:val="26"/>
    </w:rPr>
  </w:style>
  <w:style w:type="character" w:styleId="Heading5Char" w:customStyle="1">
    <w:name w:val="Heading 5 Char"/>
    <w:basedOn w:val="DefaultParagraphFont"/>
    <w:uiPriority w:val="9"/>
    <w:rPr>
      <w:rFonts w:ascii="Arial" w:cs="Arial" w:eastAsia="Arial" w:hAnsi="Arial"/>
      <w:b w:val="1"/>
      <w:bCs w:val="1"/>
      <w:sz w:val="24"/>
      <w:szCs w:val="24"/>
    </w:rPr>
  </w:style>
  <w:style w:type="character" w:styleId="Heading6Char" w:customStyle="1">
    <w:name w:val="Heading 6 Char"/>
    <w:basedOn w:val="DefaultParagraphFont"/>
    <w:uiPriority w:val="9"/>
    <w:rPr>
      <w:rFonts w:ascii="Arial" w:cs="Arial" w:eastAsia="Arial" w:hAnsi="Arial"/>
      <w:b w:val="1"/>
      <w:bCs w:val="1"/>
      <w:sz w:val="22"/>
      <w:szCs w:val="22"/>
    </w:rPr>
  </w:style>
  <w:style w:type="character" w:styleId="Heading7Char" w:customStyle="1">
    <w:name w:val="Heading 7 Char"/>
    <w:basedOn w:val="DefaultParagraphFont"/>
    <w:uiPriority w:val="9"/>
    <w:rPr>
      <w:rFonts w:ascii="Arial" w:cs="Arial" w:eastAsia="Arial" w:hAnsi="Arial"/>
      <w:b w:val="1"/>
      <w:bCs w:val="1"/>
      <w:i w:val="1"/>
      <w:iCs w:val="1"/>
      <w:sz w:val="22"/>
      <w:szCs w:val="22"/>
    </w:rPr>
  </w:style>
  <w:style w:type="character" w:styleId="Heading8Char" w:customStyle="1">
    <w:name w:val="Heading 8 Char"/>
    <w:basedOn w:val="DefaultParagraphFont"/>
    <w:uiPriority w:val="9"/>
    <w:rPr>
      <w:rFonts w:ascii="Arial" w:cs="Arial" w:eastAsia="Arial" w:hAnsi="Arial"/>
      <w:i w:val="1"/>
      <w:iCs w:val="1"/>
      <w:sz w:val="22"/>
      <w:szCs w:val="22"/>
    </w:rPr>
  </w:style>
  <w:style w:type="character" w:styleId="Heading9Char" w:customStyle="1">
    <w:name w:val="Heading 9 Char"/>
    <w:basedOn w:val="DefaultParagraphFont"/>
    <w:uiPriority w:val="9"/>
    <w:rPr>
      <w:rFonts w:ascii="Arial" w:cs="Arial" w:eastAsia="Arial" w:hAnsi="Arial"/>
      <w:i w:val="1"/>
      <w:iCs w:val="1"/>
      <w:sz w:val="21"/>
      <w:szCs w:val="21"/>
    </w:rPr>
  </w:style>
  <w:style w:type="character" w:styleId="QuoteChar" w:customStyle="1">
    <w:name w:val="Quote Char"/>
    <w:uiPriority w:val="29"/>
    <w:rPr>
      <w:i w:val="1"/>
    </w:rPr>
  </w:style>
  <w:style w:type="character" w:styleId="IntenseQuoteChar" w:customStyle="1">
    <w:name w:val="Intense Quote Char"/>
    <w:uiPriority w:val="30"/>
    <w:rPr>
      <w:i w:val="1"/>
    </w:rPr>
  </w:style>
  <w:style w:type="character" w:styleId="FootnoteTextChar" w:customStyle="1">
    <w:name w:val="Footnote Text Char"/>
    <w:uiPriority w:val="99"/>
    <w:rPr>
      <w:sz w:val="18"/>
    </w:rPr>
  </w:style>
  <w:style w:type="character" w:styleId="Heading1Char1" w:customStyle="1">
    <w:name w:val="Heading 1 Char1"/>
    <w:basedOn w:val="DefaultParagraphFont"/>
    <w:link w:val="Heading1"/>
    <w:uiPriority w:val="9"/>
    <w:rPr>
      <w:rFonts w:ascii="Arial" w:cs="Arial" w:eastAsia="Arial" w:hAnsi="Arial"/>
      <w:sz w:val="40"/>
      <w:szCs w:val="40"/>
    </w:rPr>
  </w:style>
  <w:style w:type="character" w:styleId="Heading2Char1" w:customStyle="1">
    <w:name w:val="Heading 2 Char1"/>
    <w:basedOn w:val="DefaultParagraphFont"/>
    <w:link w:val="Heading2"/>
    <w:uiPriority w:val="9"/>
    <w:rPr>
      <w:rFonts w:ascii="Arial" w:cs="Arial" w:eastAsia="Arial" w:hAnsi="Arial"/>
      <w:sz w:val="34"/>
    </w:rPr>
  </w:style>
  <w:style w:type="character" w:styleId="Heading3Char1" w:customStyle="1">
    <w:name w:val="Heading 3 Char1"/>
    <w:basedOn w:val="DefaultParagraphFont"/>
    <w:link w:val="Heading3"/>
    <w:uiPriority w:val="9"/>
    <w:rPr>
      <w:rFonts w:ascii="Arial" w:cs="Arial" w:eastAsia="Arial" w:hAnsi="Arial"/>
      <w:sz w:val="30"/>
      <w:szCs w:val="30"/>
    </w:rPr>
  </w:style>
  <w:style w:type="character" w:styleId="Heading4Char1" w:customStyle="1">
    <w:name w:val="Heading 4 Char1"/>
    <w:basedOn w:val="DefaultParagraphFont"/>
    <w:link w:val="Heading4"/>
    <w:uiPriority w:val="9"/>
    <w:rPr>
      <w:rFonts w:ascii="Arial" w:cs="Arial" w:eastAsia="Arial" w:hAnsi="Arial"/>
      <w:b w:val="1"/>
      <w:bCs w:val="1"/>
      <w:sz w:val="26"/>
      <w:szCs w:val="26"/>
    </w:rPr>
  </w:style>
  <w:style w:type="character" w:styleId="Heading5Char1" w:customStyle="1">
    <w:name w:val="Heading 5 Char1"/>
    <w:basedOn w:val="DefaultParagraphFont"/>
    <w:link w:val="Heading5"/>
    <w:uiPriority w:val="9"/>
    <w:rPr>
      <w:rFonts w:ascii="Arial" w:cs="Arial" w:eastAsia="Arial" w:hAnsi="Arial"/>
      <w:b w:val="1"/>
      <w:bCs w:val="1"/>
      <w:sz w:val="24"/>
      <w:szCs w:val="24"/>
    </w:rPr>
  </w:style>
  <w:style w:type="character" w:styleId="Heading6Char1" w:customStyle="1">
    <w:name w:val="Heading 6 Char1"/>
    <w:basedOn w:val="DefaultParagraphFont"/>
    <w:link w:val="Heading6"/>
    <w:uiPriority w:val="9"/>
    <w:rPr>
      <w:rFonts w:ascii="Arial" w:cs="Arial" w:eastAsia="Arial" w:hAnsi="Arial"/>
      <w:b w:val="1"/>
      <w:bCs w:val="1"/>
      <w:sz w:val="22"/>
      <w:szCs w:val="22"/>
    </w:rPr>
  </w:style>
  <w:style w:type="character" w:styleId="Heading7Char1" w:customStyle="1">
    <w:name w:val="Heading 7 Char1"/>
    <w:basedOn w:val="DefaultParagraphFont"/>
    <w:link w:val="Heading7"/>
    <w:uiPriority w:val="9"/>
    <w:rPr>
      <w:rFonts w:ascii="Arial" w:cs="Arial" w:eastAsia="Arial" w:hAnsi="Arial"/>
      <w:b w:val="1"/>
      <w:bCs w:val="1"/>
      <w:i w:val="1"/>
      <w:iCs w:val="1"/>
      <w:sz w:val="22"/>
      <w:szCs w:val="22"/>
    </w:rPr>
  </w:style>
  <w:style w:type="character" w:styleId="Heading8Char1" w:customStyle="1">
    <w:name w:val="Heading 8 Char1"/>
    <w:basedOn w:val="DefaultParagraphFont"/>
    <w:link w:val="Heading8"/>
    <w:uiPriority w:val="9"/>
    <w:rPr>
      <w:rFonts w:ascii="Arial" w:cs="Arial" w:eastAsia="Arial" w:hAnsi="Arial"/>
      <w:i w:val="1"/>
      <w:iCs w:val="1"/>
      <w:sz w:val="22"/>
      <w:szCs w:val="22"/>
    </w:rPr>
  </w:style>
  <w:style w:type="character" w:styleId="Heading9Char1" w:customStyle="1">
    <w:name w:val="Heading 9 Char1"/>
    <w:basedOn w:val="DefaultParagraphFont"/>
    <w:link w:val="Heading9"/>
    <w:uiPriority w:val="9"/>
    <w:rPr>
      <w:rFonts w:ascii="Arial" w:cs="Arial" w:eastAsia="Arial" w:hAnsi="Arial"/>
      <w:i w:val="1"/>
      <w:iCs w:val="1"/>
      <w:sz w:val="21"/>
      <w:szCs w:val="21"/>
    </w:rPr>
  </w:style>
  <w:style w:type="paragraph" w:styleId="NoSpacing">
    <w:name w:val="No Spacing"/>
    <w:uiPriority w:val="1"/>
    <w:qFormat w:val="1"/>
  </w:style>
  <w:style w:type="character" w:styleId="TitleChar" w:customStyle="1">
    <w:name w:val="Title Char"/>
    <w:basedOn w:val="DefaultParagraphFont"/>
    <w:uiPriority w:val="10"/>
    <w:rPr>
      <w:sz w:val="48"/>
      <w:szCs w:val="48"/>
    </w:rPr>
  </w:style>
  <w:style w:type="character" w:styleId="SubtitleChar" w:customStyle="1">
    <w:name w:val="Subtitle Char"/>
    <w:basedOn w:val="DefaultParagraphFont"/>
    <w:uiPriority w:val="11"/>
    <w:rPr>
      <w:sz w:val="24"/>
      <w:szCs w:val="24"/>
    </w:rPr>
  </w:style>
  <w:style w:type="paragraph" w:styleId="Quote">
    <w:name w:val="Quote"/>
    <w:basedOn w:val="Normal"/>
    <w:next w:val="Normal"/>
    <w:link w:val="QuoteChar1"/>
    <w:uiPriority w:val="29"/>
    <w:qFormat w:val="1"/>
    <w:pPr>
      <w:ind w:left="720" w:right="720"/>
    </w:pPr>
    <w:rPr>
      <w:i w:val="1"/>
    </w:rPr>
  </w:style>
  <w:style w:type="character" w:styleId="QuoteChar1" w:customStyle="1">
    <w:name w:val="Quote Char1"/>
    <w:link w:val="Quote"/>
    <w:uiPriority w:val="29"/>
    <w:rPr>
      <w:i w:val="1"/>
    </w:rPr>
  </w:style>
  <w:style w:type="paragraph" w:styleId="IntenseQuote">
    <w:name w:val="Intense Quote"/>
    <w:basedOn w:val="Normal"/>
    <w:next w:val="Normal"/>
    <w:link w:val="IntenseQuoteChar1"/>
    <w:uiPriority w:val="30"/>
    <w:qFormat w:val="1"/>
    <w:pPr>
      <w:pBdr>
        <w:top w:color="ffffff" w:space="5" w:sz="4" w:val="single"/>
        <w:left w:color="ffffff" w:space="10" w:sz="4" w:val="single"/>
        <w:bottom w:color="ffffff" w:space="5" w:sz="4" w:val="single"/>
        <w:right w:color="ffffff" w:space="10" w:sz="4" w:val="single"/>
      </w:pBdr>
      <w:shd w:color="auto" w:fill="f2f2f2" w:val="clear"/>
      <w:ind w:left="720" w:right="720"/>
    </w:pPr>
    <w:rPr>
      <w:i w:val="1"/>
    </w:rPr>
  </w:style>
  <w:style w:type="character" w:styleId="IntenseQuoteChar1" w:customStyle="1">
    <w:name w:val="Intense Quote Char1"/>
    <w:link w:val="IntenseQuote"/>
    <w:uiPriority w:val="30"/>
    <w:rPr>
      <w:i w:val="1"/>
    </w:rPr>
  </w:style>
  <w:style w:type="character" w:styleId="HeaderChar" w:customStyle="1">
    <w:name w:val="Header Char"/>
    <w:basedOn w:val="DefaultParagraphFont"/>
    <w:uiPriority w:val="99"/>
  </w:style>
  <w:style w:type="character" w:styleId="FooterChar" w:customStyle="1">
    <w:name w:val="Footer Char"/>
    <w:basedOn w:val="DefaultParagraphFont"/>
    <w:uiPriority w:val="99"/>
  </w:style>
  <w:style w:type="table" w:styleId="TableGrid">
    <w:name w:val="Table Grid"/>
    <w:basedOn w:val="TableNormal"/>
    <w:uiPriority w:val="59"/>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1" w:customStyle="1">
    <w:name w:val="Table Grid Light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style>
  <w:style w:type="table" w:styleId="PlainTable1">
    <w:name w:val="Plain Table 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tblStylePr w:type="firstRow">
      <w:rPr>
        <w:rFonts w:ascii="Arial" w:hAnsi="Arial"/>
        <w:b w:val="1"/>
        <w:color w:val="404040"/>
        <w:sz w:val="22"/>
      </w:r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shd w:color="auto" w:fill="f2f2f2" w:themeFill="text1" w:themeFillTint="00000D" w:val="clear"/>
      </w:tcPr>
    </w:tblStylePr>
    <w:tblStylePr w:type="band1Horz">
      <w:tblPr/>
      <w:tcPr>
        <w:shd w:color="auto" w:fill="f2f2f2" w:themeFill="text1" w:themeFillTint="00000D" w:val="clear"/>
      </w:tcPr>
    </w:tblStylePr>
  </w:style>
  <w:style w:type="table" w:styleId="PlainTable2">
    <w:name w:val="Plain Table 2"/>
    <w:basedOn w:val="TableNormal"/>
    <w:uiPriority w:val="59"/>
    <w:tblPr>
      <w:tblBorders>
        <w:top w:color="000000" w:space="0" w:sz="4" w:themeColor="text1" w:val="single"/>
        <w:left w:color="000000" w:space="0" w:sz="4" w:themeColor="text1" w:val="none"/>
        <w:bottom w:color="000000" w:space="0" w:sz="4" w:themeColor="text1" w:val="single"/>
        <w:right w:color="000000" w:space="0" w:sz="4" w:themeColor="text1" w:val="none"/>
      </w:tblBorders>
    </w:tblPr>
    <w:tblStylePr w:type="firstRow">
      <w:rPr>
        <w:rFonts w:ascii="Arial" w:hAnsi="Arial"/>
        <w:b w:val="1"/>
        <w:color w:val="404040"/>
        <w:sz w:val="22"/>
      </w:rPr>
      <w:tblPr/>
      <w:tcPr>
        <w:tcBorders>
          <w:top w:color="000000" w:space="0" w:sz="4" w:themeColor="text1" w:val="single"/>
          <w:bottom w:color="000000" w:space="0" w:sz="4" w:themeColor="text1" w:val="single"/>
        </w:tcBorders>
      </w:tc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tcBorders>
          <w:left w:color="000000" w:space="0" w:sz="4" w:themeColor="text1" w:val="single"/>
          <w:right w:color="000000" w:space="0" w:sz="4" w:themeColor="text1" w:val="single"/>
        </w:tcBorders>
      </w:tcPr>
    </w:tblStylePr>
    <w:tblStylePr w:type="band2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tcBorders>
      </w:tcPr>
    </w:tblStylePr>
  </w:style>
  <w:style w:type="table" w:styleId="PlainTable3">
    <w:name w:val="Plain Table 3"/>
    <w:basedOn w:val="TableNormal"/>
    <w:uiPriority w:val="99"/>
    <w:tblPr>
      <w:tblStyleRowBandSize w:val="1"/>
      <w:tblStyleColBandSize w:val="1"/>
    </w:tblPr>
    <w:tblStylePr w:type="firstRow">
      <w:rPr>
        <w:b w:val="1"/>
        <w:caps w:val="1"/>
        <w:color w:val="404040"/>
      </w:rPr>
      <w:tblPr/>
      <w:tcPr>
        <w:tcBorders>
          <w:top w:color="000000" w:space="0" w:sz="4" w:val="none"/>
          <w:left w:color="000000" w:space="0" w:sz="4" w:val="none"/>
          <w:bottom w:color="404040" w:space="0" w:sz="4" w:val="single"/>
          <w:right w:color="000000" w:space="0" w:sz="4" w:val="none"/>
        </w:tcBorders>
      </w:tcPr>
    </w:tblStylePr>
    <w:tblStylePr w:type="lastRow">
      <w:rPr>
        <w:b w:val="1"/>
        <w:caps w:val="1"/>
        <w:color w:val="404040"/>
      </w:rPr>
    </w:tblStylePr>
    <w:tblStylePr w:type="firstCol">
      <w:rPr>
        <w:b w:val="1"/>
        <w:caps w:val="1"/>
        <w:color w:val="404040"/>
      </w:rPr>
      <w:tblPr/>
      <w:tcPr>
        <w:tcBorders>
          <w:top w:color="000000" w:space="0" w:sz="4" w:val="none"/>
          <w:left w:color="000000" w:space="0" w:sz="4" w:val="none"/>
          <w:bottom w:color="000000" w:space="0" w:sz="4" w:val="none"/>
          <w:right w:color="404040" w:space="0" w:sz="4" w:val="single"/>
        </w:tcBorders>
      </w:tcPr>
    </w:tblStylePr>
    <w:tblStylePr w:type="lastCol">
      <w:rPr>
        <w:b w:val="1"/>
        <w:caps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4">
    <w:name w:val="Plain Table 4"/>
    <w:basedOn w:val="TableNormal"/>
    <w:uiPriority w:val="99"/>
    <w:tblPr>
      <w:tblStyleRowBandSize w:val="1"/>
      <w:tblStyleColBandSize w:val="1"/>
    </w:tblPr>
    <w:tblStylePr w:type="firstRow">
      <w:rPr>
        <w:b w:val="1"/>
        <w:color w:val="404040"/>
      </w:r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5">
    <w:name w:val="Plain Table 5"/>
    <w:basedOn w:val="TableNormal"/>
    <w:uiPriority w:val="99"/>
    <w:tblPr>
      <w:tblStyleRowBandSize w:val="1"/>
      <w:tblStyleColBandSize w:val="1"/>
    </w:tblPr>
    <w:tblStylePr w:type="firstRow">
      <w:rPr>
        <w:i w:val="1"/>
        <w:color w:val="404040"/>
      </w:rPr>
      <w:tblPr/>
      <w:tcPr>
        <w:tcBorders>
          <w:left w:color="000000" w:space="0" w:sz="4" w:val="none"/>
          <w:bottom w:color="404040" w:space="0" w:sz="4" w:val="single"/>
          <w:right w:color="000000" w:space="0" w:sz="4" w:val="none"/>
        </w:tcBorders>
        <w:shd w:color="auto" w:fill="ffffff" w:val="clear"/>
      </w:tcPr>
    </w:tblStylePr>
    <w:tblStylePr w:type="lastRow">
      <w:rPr>
        <w:i w:val="1"/>
        <w:color w:val="404040"/>
      </w:rPr>
      <w:tblPr/>
      <w:tcPr>
        <w:tcBorders>
          <w:top w:color="404040" w:space="0" w:sz="4" w:val="single"/>
          <w:left w:color="000000" w:space="0" w:sz="4" w:val="none"/>
          <w:right w:color="000000" w:space="0" w:sz="4" w:val="none"/>
        </w:tcBorders>
        <w:shd w:color="auto" w:fill="ffffff" w:val="clear"/>
      </w:tcPr>
    </w:tblStylePr>
    <w:tblStylePr w:type="firstCol">
      <w:pPr>
        <w:jc w:val="right"/>
      </w:pPr>
      <w:rPr>
        <w:i w:val="1"/>
        <w:color w:val="404040"/>
      </w:rPr>
      <w:tblPr/>
      <w:tcPr>
        <w:tcBorders>
          <w:right w:color="404040" w:space="0" w:sz="4" w:val="single"/>
        </w:tcBorders>
        <w:shd w:color="auto" w:fill="ffffff" w:val="clear"/>
      </w:tcPr>
    </w:tblStylePr>
    <w:tblStylePr w:type="lastCol">
      <w:rPr>
        <w:i w:val="1"/>
        <w:color w:val="404040"/>
      </w:rPr>
      <w:tblPr/>
      <w:tcPr>
        <w:tcBorders>
          <w:left w:color="404040" w:space="0" w:sz="4" w:val="single"/>
        </w:tcBorders>
        <w:shd w:color="auto" w:fill="ffffff" w:val="clear"/>
      </w:tc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GridTable1Light">
    <w:name w:val="Grid Table 1 Light"/>
    <w:basedOn w:val="TableNormal"/>
    <w:uiPriority w:val="99"/>
    <w:tblPr>
      <w:tblStyleRowBandSize w:val="1"/>
      <w:tblStyleColBandSize w:val="1"/>
      <w:tbl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insideH w:color="989898" w:space="0" w:sz="4" w:themeColor="text1" w:themeTint="000067" w:val="single"/>
        <w:insideV w:color="989898" w:space="0" w:sz="4" w:themeColor="text1" w:themeTint="000067" w:val="single"/>
      </w:tblBorders>
    </w:tblPr>
    <w:tblStylePr w:type="firstRow">
      <w:rPr>
        <w:b w:val="1"/>
        <w:color w:val="404040"/>
      </w:rPr>
      <w:tblPr/>
      <w:tcPr>
        <w:tcBorders>
          <w:bottom w:color="6a6a6a" w:space="0" w:sz="12" w:themeColor="tex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tcBorders>
      </w:tcPr>
    </w:tblStylePr>
  </w:style>
  <w:style w:type="table" w:styleId="GridTable1Light-Accent11" w:customStyle="1">
    <w:name w:val="Grid Table 1 Light - Accent 1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b w:val="1"/>
        <w:color w:val="404040"/>
      </w:rPr>
      <w:tblPr/>
      <w:tcPr>
        <w:tcBorders>
          <w:bottom w:color="9ec4e6" w:space="0" w:sz="12" w:themeColor="accen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GridTable1Light-Accent21" w:customStyle="1">
    <w:name w:val="Grid Table 1 Light - Accent 21"/>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b w:val="1"/>
        <w:color w:val="404040"/>
      </w:rPr>
      <w:tblPr/>
      <w:tcPr>
        <w:tcBorders>
          <w:bottom w:color="f4b286" w:space="0" w:sz="12" w:themeColor="accent2"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GridTable1Light-Accent31" w:customStyle="1">
    <w:name w:val="Grid Table 1 Light - Accent 31"/>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b w:val="1"/>
        <w:color w:val="404040"/>
      </w:rPr>
      <w:tblPr/>
      <w:tcPr>
        <w:tcBorders>
          <w:bottom w:color="cacaca" w:space="0" w:sz="12" w:themeColor="accent3"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GridTable1Light-Accent41" w:customStyle="1">
    <w:name w:val="Grid Table 1 Light - Accent 41"/>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b w:val="1"/>
        <w:color w:val="404040"/>
      </w:rPr>
      <w:tblPr/>
      <w:tcPr>
        <w:tcBorders>
          <w:bottom w:color="ffda6a" w:space="0" w:sz="12" w:themeColor="accent4"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GridTable1Light-Accent51" w:customStyle="1">
    <w:name w:val="Grid Table 1 Light - Accent 51"/>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b w:val="1"/>
        <w:color w:val="404040"/>
      </w:rPr>
      <w:tblPr/>
      <w:tcPr>
        <w:tcBorders>
          <w:bottom w:color="91acdc" w:space="0" w:sz="12" w:themeColor="accent5"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GridTable1Light-Accent61" w:customStyle="1">
    <w:name w:val="Grid Table 1 Light - Accent 61"/>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b w:val="1"/>
        <w:color w:val="404040"/>
      </w:rPr>
      <w:tblPr/>
      <w:tcPr>
        <w:tcBorders>
          <w:bottom w:color="aad190" w:space="0" w:sz="12" w:themeColor="accent6"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table" w:styleId="GridTable2">
    <w:name w:val="Grid Table 2"/>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6a6a6a" w:space="0" w:sz="12" w:themeColor="text1" w:themeTint="000095" w:val="single"/>
          <w:right w:color="000000" w:space="0" w:sz="4" w:val="none"/>
        </w:tcBorders>
        <w:shd w:color="auto" w:fill="ffffff" w:val="clear"/>
      </w:tcPr>
    </w:tblStylePr>
    <w:tblStylePr w:type="lastRow">
      <w:rPr>
        <w:b w:val="1"/>
        <w:color w:val="404040"/>
      </w:rPr>
      <w:tblPr/>
      <w:tcPr>
        <w:tcBorders>
          <w:top w:color="6a6a6a" w:space="0" w:sz="4" w:themeColor="text1" w:themeTint="00009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2-Accent11" w:customStyle="1">
    <w:name w:val="Grid Table 2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68a2d8" w:space="0" w:sz="12" w:themeColor="accent1" w:themeTint="0000EA" w:val="single"/>
          <w:right w:color="000000" w:space="0" w:sz="4" w:val="none"/>
        </w:tcBorders>
        <w:shd w:color="auto" w:fill="ffffff" w:val="clear"/>
      </w:tcPr>
    </w:tblStylePr>
    <w:tblStylePr w:type="lastRow">
      <w:rPr>
        <w:b w:val="1"/>
        <w:color w:val="404040"/>
      </w:rPr>
      <w:tblPr/>
      <w:tcPr>
        <w:tcBorders>
          <w:top w:color="68a2d8" w:space="0" w:sz="4" w:themeColor="accent1" w:themeTint="0000E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2-Accent21" w:customStyle="1">
    <w:name w:val="Grid Table 2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f4b184" w:space="0" w:sz="12" w:themeColor="accent2" w:themeTint="000097" w:val="single"/>
          <w:right w:color="000000" w:space="0" w:sz="4" w:val="none"/>
        </w:tcBorders>
        <w:shd w:color="auto" w:fill="ffffff" w:val="clear"/>
      </w:tcPr>
    </w:tblStylePr>
    <w:tblStylePr w:type="lastRow">
      <w:rPr>
        <w:b w:val="1"/>
        <w:color w:val="404040"/>
      </w:rPr>
      <w:tblPr/>
      <w:tcPr>
        <w:tcBorders>
          <w:top w:color="f4b184" w:space="0" w:sz="4" w:themeColor="accent2" w:themeTint="000097"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2-Accent31" w:customStyle="1">
    <w:name w:val="Grid Table 2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a5a5a5" w:space="0" w:sz="12" w:themeColor="accent3" w:themeTint="0000FE" w:val="single"/>
          <w:right w:color="000000" w:space="0" w:sz="4" w:val="none"/>
        </w:tcBorders>
        <w:shd w:color="auto" w:fill="ffffff" w:val="clear"/>
      </w:tcPr>
    </w:tblStylePr>
    <w:tblStylePr w:type="lastRow">
      <w:rPr>
        <w:b w:val="1"/>
        <w:color w:val="404040"/>
      </w:rPr>
      <w:tblPr/>
      <w:tcPr>
        <w:tcBorders>
          <w:top w:color="a5a5a5" w:space="0" w:sz="4" w:themeColor="accent3" w:themeTint="0000FE"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2-Accent41" w:customStyle="1">
    <w:name w:val="Grid Table 2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ffd865" w:space="0" w:sz="12" w:themeColor="accent4" w:themeTint="00009A" w:val="single"/>
          <w:right w:color="000000" w:space="0" w:sz="4" w:val="none"/>
        </w:tcBorders>
        <w:shd w:color="auto" w:fill="ffffff" w:val="clear"/>
      </w:tcPr>
    </w:tblStylePr>
    <w:tblStylePr w:type="lastRow">
      <w:rPr>
        <w:b w:val="1"/>
        <w:color w:val="404040"/>
      </w:rPr>
      <w:tblPr/>
      <w:tcPr>
        <w:tcBorders>
          <w:top w:color="ffd865" w:space="0" w:sz="4" w:themeColor="accent4" w:themeTint="00009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2-Accent51" w:customStyle="1">
    <w:name w:val="Grid Table 2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4472c4" w:space="0" w:sz="12" w:themeColor="accent5" w:val="single"/>
          <w:right w:color="000000" w:space="0" w:sz="4" w:val="none"/>
        </w:tcBorders>
        <w:shd w:color="auto" w:fill="ffffff" w:val="clear"/>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2-Accent61" w:customStyle="1">
    <w:name w:val="Grid Table 2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70ad47" w:space="0" w:sz="12" w:themeColor="accent6" w:val="single"/>
          <w:right w:color="000000" w:space="0" w:sz="4" w:val="none"/>
        </w:tcBorders>
        <w:shd w:color="auto" w:fill="ffffff" w:val="clear"/>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3">
    <w:name w:val="Grid Table 3"/>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3-Accent11" w:customStyle="1">
    <w:name w:val="Grid Table 3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3-Accent21" w:customStyle="1">
    <w:name w:val="Grid Table 3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3-Accent31" w:customStyle="1">
    <w:name w:val="Grid Table 3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3-Accent41" w:customStyle="1">
    <w:name w:val="Grid Table 3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3-Accent51" w:customStyle="1">
    <w:name w:val="Grid Table 3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3-Accent61" w:customStyle="1">
    <w:name w:val="Grid Table 3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4">
    <w:name w:val="Grid Table 4"/>
    <w:basedOn w:val="TableNormal"/>
    <w:uiPriority w:val="59"/>
    <w:tblPr>
      <w:tblStyleRowBandSize w:val="1"/>
      <w:tblStyleColBandSize w:val="1"/>
      <w:tblBorders>
        <w:top w:color="6f6f6f" w:space="0" w:sz="4" w:themeColor="text1" w:themeTint="000090" w:val="single"/>
        <w:left w:color="6f6f6f" w:space="0" w:sz="4" w:themeColor="text1" w:themeTint="000090" w:val="single"/>
        <w:bottom w:color="6f6f6f" w:space="0" w:sz="4" w:themeColor="text1" w:themeTint="000090" w:val="single"/>
        <w:right w:color="6f6f6f" w:space="0" w:sz="4" w:themeColor="text1" w:themeTint="000090" w:val="single"/>
        <w:insideH w:color="6f6f6f" w:space="0" w:sz="4" w:themeColor="text1" w:themeTint="000090" w:val="single"/>
        <w:insideV w:color="6f6f6f" w:space="0" w:sz="4" w:themeColor="text1" w:themeTint="000090" w:val="single"/>
      </w:tblBorders>
    </w:tblPr>
    <w:tblStylePr w:type="firstRow">
      <w:rPr>
        <w:rFonts w:ascii="Arial" w:hAnsi="Arial"/>
        <w:b w:val="1"/>
        <w:color w:val="ffffff"/>
        <w:sz w:val="22"/>
      </w:rPr>
      <w:tblPr/>
      <w:tcPr>
        <w:tcBorders>
          <w:top w:color="000000" w:space="0" w:sz="4" w:themeColor="text1" w:val="single"/>
          <w:left w:color="000000" w:space="0" w:sz="4" w:themeColor="text1" w:val="single"/>
          <w:bottom w:color="000000" w:space="0" w:sz="4" w:themeColor="text1" w:val="single"/>
          <w:right w:color="000000" w:space="0" w:sz="4" w:themeColor="text1" w:val="single"/>
        </w:tcBorders>
        <w:shd w:color="auto" w:fill="000000" w:themeFill="text1" w:val="clear"/>
      </w:tcPr>
    </w:tblStylePr>
    <w:tblStylePr w:type="lastRow">
      <w:rPr>
        <w:b w:val="1"/>
        <w:color w:val="404040"/>
      </w:rPr>
      <w:tblPr/>
      <w:tcPr>
        <w:tcBorders>
          <w:top w:color="000000" w:space="0" w:sz="4" w:themeColor="text1"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4-Accent11" w:customStyle="1">
    <w:name w:val="Grid Table 4 - Accent 11"/>
    <w:basedOn w:val="TableNormal"/>
    <w:uiPriority w:val="5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insideV w:color="a2c6e7" w:space="0" w:sz="4" w:themeColor="accent1" w:themeTint="000090" w:val="single"/>
      </w:tblBorders>
    </w:tblPr>
    <w:tblStylePr w:type="firstRow">
      <w:rPr>
        <w:rFonts w:ascii="Arial" w:hAnsi="Arial"/>
        <w:b w:val="1"/>
        <w:color w:val="ffffff"/>
        <w:sz w:val="22"/>
      </w:rPr>
      <w:tblPr/>
      <w:tcPr>
        <w:tcBorders>
          <w:top w:color="68a2d8" w:space="0" w:sz="4" w:themeColor="accent1" w:themeTint="0000EA" w:val="single"/>
          <w:left w:color="68a2d8" w:space="0" w:sz="4" w:themeColor="accent1" w:themeTint="0000EA" w:val="single"/>
          <w:bottom w:color="68a2d8" w:space="0" w:sz="4" w:themeColor="accent1" w:themeTint="0000EA" w:val="single"/>
          <w:right w:color="68a2d8" w:space="0" w:sz="4" w:themeColor="accent1" w:themeTint="0000EA" w:val="single"/>
        </w:tcBorders>
        <w:shd w:color="auto" w:fill="68a2d8" w:themeFill="accent1" w:themeFillTint="0000EA" w:val="clear"/>
      </w:tcPr>
    </w:tblStylePr>
    <w:tblStylePr w:type="lastRow">
      <w:rPr>
        <w:b w:val="1"/>
        <w:color w:val="404040"/>
      </w:rPr>
      <w:tblPr/>
      <w:tcPr>
        <w:tcBorders>
          <w:top w:color="68a2d8" w:space="0" w:sz="4" w:themeColor="accent1" w:themeTint="0000E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eebf6" w:themeFill="accent1" w:themeFillTint="000032" w:val="clear"/>
      </w:tcPr>
    </w:tblStylePr>
    <w:tblStylePr w:type="band1Horz">
      <w:rPr>
        <w:rFonts w:ascii="Arial" w:hAnsi="Arial"/>
        <w:color w:val="404040"/>
        <w:sz w:val="22"/>
      </w:rPr>
      <w:tblPr/>
      <w:tcPr>
        <w:shd w:color="auto" w:fill="deebf6" w:themeFill="accent1" w:themeFillTint="000032" w:val="clear"/>
      </w:tcPr>
    </w:tblStylePr>
  </w:style>
  <w:style w:type="table" w:styleId="GridTable4-Accent21" w:customStyle="1">
    <w:name w:val="Grid Table 4 - Accent 21"/>
    <w:basedOn w:val="TableNormal"/>
    <w:uiPriority w:val="5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insideV w:color="f4b58a" w:space="0" w:sz="4" w:themeColor="accent2" w:themeTint="000090" w:val="single"/>
      </w:tblBorders>
    </w:tblPr>
    <w:tblStylePr w:type="firstRow">
      <w:rPr>
        <w:rFonts w:ascii="Arial" w:hAnsi="Arial"/>
        <w:b w:val="1"/>
        <w:color w:val="ffffff"/>
        <w:sz w:val="22"/>
      </w:rPr>
      <w:tblPr/>
      <w:tcPr>
        <w:tc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cBorders>
        <w:shd w:color="auto" w:fill="f4b184" w:themeFill="accent2" w:themeFillTint="000097" w:val="clear"/>
      </w:tcPr>
    </w:tblStylePr>
    <w:tblStylePr w:type="lastRow">
      <w:rPr>
        <w:b w:val="1"/>
        <w:color w:val="404040"/>
      </w:rPr>
      <w:tblPr/>
      <w:tcPr>
        <w:tcBorders>
          <w:top w:color="f4b184" w:space="0" w:sz="4" w:themeColor="accent2" w:themeTint="000097"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4-Accent31" w:customStyle="1">
    <w:name w:val="Grid Table 4 - Accent 31"/>
    <w:basedOn w:val="TableNormal"/>
    <w:uiPriority w:val="5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insideV w:color="cccccc" w:space="0" w:sz="4" w:themeColor="accent3" w:themeTint="000090" w:val="single"/>
      </w:tblBorders>
    </w:tblPr>
    <w:tblStylePr w:type="firstRow">
      <w:rPr>
        <w:rFonts w:ascii="Arial" w:hAnsi="Arial"/>
        <w:b w:val="1"/>
        <w:color w:val="ffffff"/>
        <w:sz w:val="22"/>
      </w:rPr>
      <w:tblPr/>
      <w:tcPr>
        <w:tc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tcBorders>
        <w:shd w:color="auto" w:fill="a5a5a5" w:themeFill="accent3" w:themeFillTint="0000FE" w:val="clear"/>
      </w:tcPr>
    </w:tblStylePr>
    <w:tblStylePr w:type="lastRow">
      <w:rPr>
        <w:b w:val="1"/>
        <w:color w:val="404040"/>
      </w:rPr>
      <w:tblPr/>
      <w:tcPr>
        <w:tcBorders>
          <w:top w:color="a5a5a5" w:space="0" w:sz="4" w:themeColor="accent3" w:themeTint="0000FE"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4-Accent41" w:customStyle="1">
    <w:name w:val="Grid Table 4 - Accent 41"/>
    <w:basedOn w:val="TableNormal"/>
    <w:uiPriority w:val="5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insideV w:color="ffdb6f" w:space="0" w:sz="4" w:themeColor="accent4" w:themeTint="000090" w:val="single"/>
      </w:tblBorders>
    </w:tblPr>
    <w:tblStylePr w:type="firstRow">
      <w:rPr>
        <w:rFonts w:ascii="Arial" w:hAnsi="Arial"/>
        <w:b w:val="1"/>
        <w:color w:val="ffffff"/>
        <w:sz w:val="22"/>
      </w:rPr>
      <w:tblPr/>
      <w:tcPr>
        <w:tc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cBorders>
        <w:shd w:color="auto" w:fill="ffd865" w:themeFill="accent4" w:themeFillTint="00009A" w:val="clear"/>
      </w:tcPr>
    </w:tblStylePr>
    <w:tblStylePr w:type="lastRow">
      <w:rPr>
        <w:b w:val="1"/>
        <w:color w:val="404040"/>
      </w:rPr>
      <w:tblPr/>
      <w:tcPr>
        <w:tcBorders>
          <w:top w:color="ffd865" w:space="0" w:sz="4" w:themeColor="accent4" w:themeTint="00009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4-Accent51" w:customStyle="1">
    <w:name w:val="Grid Table 4 - Accent 51"/>
    <w:basedOn w:val="TableNormal"/>
    <w:uiPriority w:val="5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ffffff"/>
        <w:sz w:val="22"/>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tcBorders>
        <w:shd w:color="auto" w:fill="4472c4" w:themeFill="accent5" w:val="clear"/>
      </w:tcPr>
    </w:tblStylePr>
    <w:tblStylePr w:type="lastRow">
      <w:rPr>
        <w:b w:val="1"/>
        <w:color w:val="404040"/>
      </w:rPr>
      <w:tblPr/>
      <w:tcPr>
        <w:tcBorders>
          <w:top w:color="4472c4" w:space="0" w:sz="4" w:themeColor="accent5"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4-Accent61" w:customStyle="1">
    <w:name w:val="Grid Table 4 - Accent 61"/>
    <w:basedOn w:val="TableNormal"/>
    <w:uiPriority w:val="5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ffffff"/>
        <w:sz w:val="22"/>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tcBorders>
        <w:shd w:color="auto" w:fill="70ad47" w:themeFill="accent6" w:val="clear"/>
      </w:tcPr>
    </w:tblStylePr>
    <w:tblStylePr w:type="lastRow">
      <w:rPr>
        <w:b w:val="1"/>
        <w:color w:val="404040"/>
      </w:rPr>
      <w:tblPr/>
      <w:tcPr>
        <w:tcBorders>
          <w:top w:color="70ad47" w:space="0" w:sz="4" w:themeColor="accent6"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5Dark">
    <w:name w:val="Grid Table 5 Dark"/>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bfbfbf" w:themeFill="text1" w:themeFillTint="000040" w:val="clear"/>
    </w:tblPr>
    <w:tblStylePr w:type="firstRow">
      <w:rPr>
        <w:rFonts w:ascii="Arial" w:hAnsi="Arial"/>
        <w:b w:val="1"/>
        <w:color w:val="ffffff"/>
        <w:sz w:val="22"/>
      </w:rPr>
      <w:tblPr/>
      <w:tcPr>
        <w:shd w:color="auto" w:fill="000000" w:themeFill="text1" w:val="clear"/>
      </w:tcPr>
    </w:tblStylePr>
    <w:tblStylePr w:type="lastRow">
      <w:rPr>
        <w:rFonts w:ascii="Arial" w:hAnsi="Arial"/>
        <w:b w:val="1"/>
        <w:color w:val="ffffff"/>
        <w:sz w:val="22"/>
      </w:rPr>
      <w:tblPr/>
      <w:tcPr>
        <w:tcBorders>
          <w:top w:color="ffffff" w:space="0" w:sz="4" w:themeColor="light1" w:val="single"/>
        </w:tcBorders>
        <w:shd w:color="auto" w:fill="000000" w:themeFill="text1" w:val="clear"/>
      </w:tcPr>
    </w:tblStylePr>
    <w:tblStylePr w:type="firstCol">
      <w:rPr>
        <w:rFonts w:ascii="Arial" w:hAnsi="Arial"/>
        <w:b w:val="1"/>
        <w:color w:val="ffffff"/>
        <w:sz w:val="22"/>
      </w:rPr>
      <w:tblPr/>
      <w:tcPr>
        <w:shd w:color="auto" w:fill="000000" w:themeFill="text1" w:val="clear"/>
      </w:tcPr>
    </w:tblStylePr>
    <w:tblStylePr w:type="lastCol">
      <w:rPr>
        <w:rFonts w:ascii="Arial" w:hAnsi="Arial"/>
        <w:b w:val="1"/>
        <w:color w:val="ffffff"/>
        <w:sz w:val="22"/>
      </w:rPr>
      <w:tblPr/>
      <w:tcPr>
        <w:shd w:color="auto" w:fill="000000" w:themeFill="text1" w:val="clear"/>
      </w:tcPr>
    </w:tblStylePr>
    <w:tblStylePr w:type="band1Vert">
      <w:tblPr/>
      <w:tcPr>
        <w:shd w:color="auto" w:fill="8a8a8a" w:themeFill="text1" w:themeFillTint="000075" w:val="clear"/>
      </w:tcPr>
    </w:tblStylePr>
    <w:tblStylePr w:type="band1Horz">
      <w:tblPr/>
      <w:tcPr>
        <w:shd w:color="auto" w:fill="8a8a8a" w:themeFill="text1" w:themeFillTint="000075" w:val="clear"/>
      </w:tcPr>
    </w:tblStylePr>
  </w:style>
  <w:style w:type="table" w:styleId="GridTable5Dark-Accent1" w:customStyle="1">
    <w:name w:val="Grid Table 5 Dark- Accent 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deaf6" w:themeFill="accent1" w:themeFillTint="000034" w:val="clear"/>
    </w:tblPr>
    <w:tblStylePr w:type="firstRow">
      <w:rPr>
        <w:rFonts w:ascii="Arial" w:hAnsi="Arial"/>
        <w:b w:val="1"/>
        <w:color w:val="ffffff"/>
        <w:sz w:val="22"/>
      </w:rPr>
      <w:tblPr/>
      <w:tcPr>
        <w:shd w:color="auto" w:fill="5b9bd5" w:themeFill="accent1" w:val="clear"/>
      </w:tcPr>
    </w:tblStylePr>
    <w:tblStylePr w:type="lastRow">
      <w:rPr>
        <w:rFonts w:ascii="Arial" w:hAnsi="Arial"/>
        <w:b w:val="1"/>
        <w:color w:val="ffffff"/>
        <w:sz w:val="22"/>
      </w:rPr>
      <w:tblPr/>
      <w:tcPr>
        <w:tcBorders>
          <w:top w:color="ffffff" w:space="0" w:sz="4" w:themeColor="light1" w:val="single"/>
        </w:tcBorders>
        <w:shd w:color="auto" w:fill="5b9bd5" w:themeFill="accent1" w:val="clear"/>
      </w:tcPr>
    </w:tblStylePr>
    <w:tblStylePr w:type="firstCol">
      <w:rPr>
        <w:rFonts w:ascii="Arial" w:hAnsi="Arial"/>
        <w:b w:val="1"/>
        <w:color w:val="ffffff"/>
        <w:sz w:val="22"/>
      </w:rPr>
      <w:tblPr/>
      <w:tcPr>
        <w:shd w:color="auto" w:fill="5b9bd5" w:themeFill="accent1" w:val="clear"/>
      </w:tcPr>
    </w:tblStylePr>
    <w:tblStylePr w:type="lastCol">
      <w:rPr>
        <w:rFonts w:ascii="Arial" w:hAnsi="Arial"/>
        <w:b w:val="1"/>
        <w:color w:val="ffffff"/>
        <w:sz w:val="22"/>
      </w:rPr>
      <w:tblPr/>
      <w:tcPr>
        <w:shd w:color="auto" w:fill="5b9bd5" w:themeFill="accent1" w:val="clear"/>
      </w:tcPr>
    </w:tblStylePr>
    <w:tblStylePr w:type="band1Vert">
      <w:tblPr/>
      <w:tcPr>
        <w:shd w:color="auto" w:fill="b3d0eb" w:themeFill="accent1" w:themeFillTint="000075" w:val="clear"/>
      </w:tcPr>
    </w:tblStylePr>
    <w:tblStylePr w:type="band1Horz">
      <w:tblPr/>
      <w:tcPr>
        <w:shd w:color="auto" w:fill="b3d0eb" w:themeFill="accent1" w:themeFillTint="000075" w:val="clear"/>
      </w:tcPr>
    </w:tblStylePr>
  </w:style>
  <w:style w:type="table" w:styleId="GridTable5Dark-Accent21" w:customStyle="1">
    <w:name w:val="Grid Table 5 Dark - Accent 2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be5d6" w:themeFill="accent2" w:themeFillTint="000032" w:val="clear"/>
    </w:tblPr>
    <w:tblStylePr w:type="firstRow">
      <w:rPr>
        <w:rFonts w:ascii="Arial" w:hAnsi="Arial"/>
        <w:b w:val="1"/>
        <w:color w:val="ffffff"/>
        <w:sz w:val="22"/>
      </w:rPr>
      <w:tblPr/>
      <w:tcPr>
        <w:shd w:color="auto" w:fill="ed7d31" w:themeFill="accent2" w:val="clear"/>
      </w:tcPr>
    </w:tblStylePr>
    <w:tblStylePr w:type="lastRow">
      <w:rPr>
        <w:rFonts w:ascii="Arial" w:hAnsi="Arial"/>
        <w:b w:val="1"/>
        <w:color w:val="ffffff"/>
        <w:sz w:val="22"/>
      </w:rPr>
      <w:tblPr/>
      <w:tcPr>
        <w:tcBorders>
          <w:top w:color="ffffff" w:space="0" w:sz="4" w:themeColor="light1" w:val="single"/>
        </w:tcBorders>
        <w:shd w:color="auto" w:fill="ed7d31" w:themeFill="accent2" w:val="clear"/>
      </w:tcPr>
    </w:tblStylePr>
    <w:tblStylePr w:type="firstCol">
      <w:rPr>
        <w:rFonts w:ascii="Arial" w:hAnsi="Arial"/>
        <w:b w:val="1"/>
        <w:color w:val="ffffff"/>
        <w:sz w:val="22"/>
      </w:rPr>
      <w:tblPr/>
      <w:tcPr>
        <w:shd w:color="auto" w:fill="ed7d31" w:themeFill="accent2" w:val="clear"/>
      </w:tcPr>
    </w:tblStylePr>
    <w:tblStylePr w:type="lastCol">
      <w:rPr>
        <w:rFonts w:ascii="Arial" w:hAnsi="Arial"/>
        <w:b w:val="1"/>
        <w:color w:val="ffffff"/>
        <w:sz w:val="22"/>
      </w:rPr>
      <w:tblPr/>
      <w:tcPr>
        <w:shd w:color="auto" w:fill="ed7d31" w:themeFill="accent2" w:val="clear"/>
      </w:tcPr>
    </w:tblStylePr>
    <w:tblStylePr w:type="band1Vert">
      <w:tblPr/>
      <w:tcPr>
        <w:shd w:color="auto" w:fill="f6c3a0" w:themeFill="accent2" w:themeFillTint="000075" w:val="clear"/>
      </w:tcPr>
    </w:tblStylePr>
    <w:tblStylePr w:type="band1Horz">
      <w:tblPr/>
      <w:tcPr>
        <w:shd w:color="auto" w:fill="f6c3a0" w:themeFill="accent2" w:themeFillTint="000075" w:val="clear"/>
      </w:tcPr>
    </w:tblStylePr>
  </w:style>
  <w:style w:type="table" w:styleId="GridTable5Dark-Accent31" w:customStyle="1">
    <w:name w:val="Grid Table 5 Dark - Accent 3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cecec" w:themeFill="accent3" w:themeFillTint="000034" w:val="clear"/>
    </w:tblPr>
    <w:tblStylePr w:type="firstRow">
      <w:rPr>
        <w:rFonts w:ascii="Arial" w:hAnsi="Arial"/>
        <w:b w:val="1"/>
        <w:color w:val="ffffff"/>
        <w:sz w:val="22"/>
      </w:rPr>
      <w:tblPr/>
      <w:tcPr>
        <w:shd w:color="auto" w:fill="a5a5a5" w:themeFill="accent3" w:val="clear"/>
      </w:tcPr>
    </w:tblStylePr>
    <w:tblStylePr w:type="lastRow">
      <w:rPr>
        <w:rFonts w:ascii="Arial" w:hAnsi="Arial"/>
        <w:b w:val="1"/>
        <w:color w:val="ffffff"/>
        <w:sz w:val="22"/>
      </w:rPr>
      <w:tblPr/>
      <w:tcPr>
        <w:tcBorders>
          <w:top w:color="ffffff" w:space="0" w:sz="4" w:themeColor="light1" w:val="single"/>
        </w:tcBorders>
        <w:shd w:color="auto" w:fill="a5a5a5" w:themeFill="accent3" w:val="clear"/>
      </w:tcPr>
    </w:tblStylePr>
    <w:tblStylePr w:type="firstCol">
      <w:rPr>
        <w:rFonts w:ascii="Arial" w:hAnsi="Arial"/>
        <w:b w:val="1"/>
        <w:color w:val="ffffff"/>
        <w:sz w:val="22"/>
      </w:rPr>
      <w:tblPr/>
      <w:tcPr>
        <w:shd w:color="auto" w:fill="a5a5a5" w:themeFill="accent3" w:val="clear"/>
      </w:tcPr>
    </w:tblStylePr>
    <w:tblStylePr w:type="lastCol">
      <w:rPr>
        <w:rFonts w:ascii="Arial" w:hAnsi="Arial"/>
        <w:b w:val="1"/>
        <w:color w:val="ffffff"/>
        <w:sz w:val="22"/>
      </w:rPr>
      <w:tblPr/>
      <w:tcPr>
        <w:shd w:color="auto" w:fill="a5a5a5" w:themeFill="accent3" w:val="clear"/>
      </w:tcPr>
    </w:tblStylePr>
    <w:tblStylePr w:type="band1Vert">
      <w:tblPr/>
      <w:tcPr>
        <w:shd w:color="auto" w:fill="d5d5d5" w:themeFill="accent3" w:themeFillTint="000075" w:val="clear"/>
      </w:tcPr>
    </w:tblStylePr>
    <w:tblStylePr w:type="band1Horz">
      <w:tblPr/>
      <w:tcPr>
        <w:shd w:color="auto" w:fill="d5d5d5" w:themeFill="accent3" w:themeFillTint="000075" w:val="clear"/>
      </w:tcPr>
    </w:tblStylePr>
  </w:style>
  <w:style w:type="table" w:styleId="GridTable5Dark-Accent4" w:customStyle="1">
    <w:name w:val="Grid Table 5 Dark- Accent 4"/>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ff2cb" w:themeFill="accent4" w:themeFillTint="000034" w:val="clear"/>
    </w:tblPr>
    <w:tblStylePr w:type="firstRow">
      <w:rPr>
        <w:rFonts w:ascii="Arial" w:hAnsi="Arial"/>
        <w:b w:val="1"/>
        <w:color w:val="ffffff"/>
        <w:sz w:val="22"/>
      </w:rPr>
      <w:tblPr/>
      <w:tcPr>
        <w:shd w:color="auto" w:fill="ffc000" w:themeFill="accent4" w:val="clear"/>
      </w:tcPr>
    </w:tblStylePr>
    <w:tblStylePr w:type="lastRow">
      <w:rPr>
        <w:rFonts w:ascii="Arial" w:hAnsi="Arial"/>
        <w:b w:val="1"/>
        <w:color w:val="ffffff"/>
        <w:sz w:val="22"/>
      </w:rPr>
      <w:tblPr/>
      <w:tcPr>
        <w:tcBorders>
          <w:top w:color="ffffff" w:space="0" w:sz="4" w:themeColor="light1" w:val="single"/>
        </w:tcBorders>
        <w:shd w:color="auto" w:fill="ffc000" w:themeFill="accent4" w:val="clear"/>
      </w:tcPr>
    </w:tblStylePr>
    <w:tblStylePr w:type="firstCol">
      <w:rPr>
        <w:rFonts w:ascii="Arial" w:hAnsi="Arial"/>
        <w:b w:val="1"/>
        <w:color w:val="ffffff"/>
        <w:sz w:val="22"/>
      </w:rPr>
      <w:tblPr/>
      <w:tcPr>
        <w:shd w:color="auto" w:fill="ffc000" w:themeFill="accent4" w:val="clear"/>
      </w:tcPr>
    </w:tblStylePr>
    <w:tblStylePr w:type="lastCol">
      <w:rPr>
        <w:rFonts w:ascii="Arial" w:hAnsi="Arial"/>
        <w:b w:val="1"/>
        <w:color w:val="ffffff"/>
        <w:sz w:val="22"/>
      </w:rPr>
      <w:tblPr/>
      <w:tcPr>
        <w:shd w:color="auto" w:fill="ffc000" w:themeFill="accent4" w:val="clear"/>
      </w:tcPr>
    </w:tblStylePr>
    <w:tblStylePr w:type="band1Vert">
      <w:tblPr/>
      <w:tcPr>
        <w:shd w:color="auto" w:fill="ffe28a" w:themeFill="accent4" w:themeFillTint="000075" w:val="clear"/>
      </w:tcPr>
    </w:tblStylePr>
    <w:tblStylePr w:type="band1Horz">
      <w:tblPr/>
      <w:tcPr>
        <w:shd w:color="auto" w:fill="ffe28a" w:themeFill="accent4" w:themeFillTint="000075" w:val="clear"/>
      </w:tcPr>
    </w:tblStylePr>
  </w:style>
  <w:style w:type="table" w:styleId="GridTable5Dark-Accent51" w:customStyle="1">
    <w:name w:val="Grid Table 5 Dark - Accent 5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8e2f3" w:themeFill="accent5" w:themeFillTint="000034" w:val="clear"/>
    </w:tblPr>
    <w:tblStylePr w:type="firstRow">
      <w:rPr>
        <w:rFonts w:ascii="Arial" w:hAnsi="Arial"/>
        <w:b w:val="1"/>
        <w:color w:val="ffffff"/>
        <w:sz w:val="22"/>
      </w:rPr>
      <w:tblPr/>
      <w:tcPr>
        <w:shd w:color="auto" w:fill="4472c4" w:themeFill="accent5" w:val="clear"/>
      </w:tcPr>
    </w:tblStylePr>
    <w:tblStylePr w:type="lastRow">
      <w:rPr>
        <w:rFonts w:ascii="Arial" w:hAnsi="Arial"/>
        <w:b w:val="1"/>
        <w:color w:val="ffffff"/>
        <w:sz w:val="22"/>
      </w:rPr>
      <w:tblPr/>
      <w:tcPr>
        <w:tcBorders>
          <w:top w:color="ffffff" w:space="0" w:sz="4" w:themeColor="light1" w:val="single"/>
        </w:tcBorders>
        <w:shd w:color="auto" w:fill="4472c4" w:themeFill="accent5" w:val="clear"/>
      </w:tcPr>
    </w:tblStylePr>
    <w:tblStylePr w:type="firstCol">
      <w:rPr>
        <w:rFonts w:ascii="Arial" w:hAnsi="Arial"/>
        <w:b w:val="1"/>
        <w:color w:val="ffffff"/>
        <w:sz w:val="22"/>
      </w:rPr>
      <w:tblPr/>
      <w:tcPr>
        <w:shd w:color="auto" w:fill="4472c4" w:themeFill="accent5" w:val="clear"/>
      </w:tcPr>
    </w:tblStylePr>
    <w:tblStylePr w:type="lastCol">
      <w:rPr>
        <w:rFonts w:ascii="Arial" w:hAnsi="Arial"/>
        <w:b w:val="1"/>
        <w:color w:val="ffffff"/>
        <w:sz w:val="22"/>
      </w:rPr>
      <w:tblPr/>
      <w:tcPr>
        <w:shd w:color="auto" w:fill="4472c4" w:themeFill="accent5" w:val="clear"/>
      </w:tcPr>
    </w:tblStylePr>
    <w:tblStylePr w:type="band1Vert">
      <w:tblPr/>
      <w:tcPr>
        <w:shd w:color="auto" w:fill="a9bee4" w:themeFill="accent5" w:themeFillTint="000075" w:val="clear"/>
      </w:tcPr>
    </w:tblStylePr>
    <w:tblStylePr w:type="band1Horz">
      <w:tblPr/>
      <w:tcPr>
        <w:shd w:color="auto" w:fill="a9bee4" w:themeFill="accent5" w:themeFillTint="000075" w:val="clear"/>
      </w:tcPr>
    </w:tblStylePr>
  </w:style>
  <w:style w:type="table" w:styleId="GridTable5Dark-Accent61" w:customStyle="1">
    <w:name w:val="Grid Table 5 Dark - Accent 6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1efd8" w:themeFill="accent6" w:themeFillTint="000034" w:val="clear"/>
    </w:tblPr>
    <w:tblStylePr w:type="firstRow">
      <w:rPr>
        <w:rFonts w:ascii="Arial" w:hAnsi="Arial"/>
        <w:b w:val="1"/>
        <w:color w:val="ffffff"/>
        <w:sz w:val="22"/>
      </w:rPr>
      <w:tblPr/>
      <w:tcPr>
        <w:shd w:color="auto" w:fill="70ad47" w:themeFill="accent6" w:val="clear"/>
      </w:tcPr>
    </w:tblStylePr>
    <w:tblStylePr w:type="lastRow">
      <w:rPr>
        <w:rFonts w:ascii="Arial" w:hAnsi="Arial"/>
        <w:b w:val="1"/>
        <w:color w:val="ffffff"/>
        <w:sz w:val="22"/>
      </w:rPr>
      <w:tblPr/>
      <w:tcPr>
        <w:tcBorders>
          <w:top w:color="ffffff" w:space="0" w:sz="4" w:themeColor="light1" w:val="single"/>
        </w:tcBorders>
        <w:shd w:color="auto" w:fill="70ad47" w:themeFill="accent6" w:val="clear"/>
      </w:tcPr>
    </w:tblStylePr>
    <w:tblStylePr w:type="firstCol">
      <w:rPr>
        <w:rFonts w:ascii="Arial" w:hAnsi="Arial"/>
        <w:b w:val="1"/>
        <w:color w:val="ffffff"/>
        <w:sz w:val="22"/>
      </w:rPr>
      <w:tblPr/>
      <w:tcPr>
        <w:shd w:color="auto" w:fill="70ad47" w:themeFill="accent6" w:val="clear"/>
      </w:tcPr>
    </w:tblStylePr>
    <w:tblStylePr w:type="lastCol">
      <w:rPr>
        <w:rFonts w:ascii="Arial" w:hAnsi="Arial"/>
        <w:b w:val="1"/>
        <w:color w:val="ffffff"/>
        <w:sz w:val="22"/>
      </w:rPr>
      <w:tblPr/>
      <w:tcPr>
        <w:shd w:color="auto" w:fill="70ad47" w:themeFill="accent6" w:val="clear"/>
      </w:tcPr>
    </w:tblStylePr>
    <w:tblStylePr w:type="band1Vert">
      <w:tblPr/>
      <w:tcPr>
        <w:shd w:color="auto" w:fill="bcdba8" w:themeFill="accent6" w:themeFillTint="000075" w:val="clear"/>
      </w:tcPr>
    </w:tblStylePr>
    <w:tblStylePr w:type="band1Horz">
      <w:tblPr/>
      <w:tcPr>
        <w:shd w:color="auto" w:fill="bcdba8" w:themeFill="accent6" w:themeFillTint="000075" w:val="clear"/>
      </w:tcPr>
    </w:tblStylePr>
  </w:style>
  <w:style w:type="table" w:styleId="GridTable6Colorful">
    <w:name w:val="Grid Table 6 Colorful"/>
    <w:basedOn w:val="TableNormal"/>
    <w:uiPriority w:val="99"/>
    <w:tblPr>
      <w:tblStyleRowBandSize w:val="1"/>
      <w:tblStyleColBandSize w:val="1"/>
      <w:tblBorders>
        <w:top w:color="7f7f7f" w:space="0" w:sz="4" w:themeColor="text1" w:themeTint="000080" w:val="single"/>
        <w:left w:color="7f7f7f" w:space="0" w:sz="4" w:themeColor="text1" w:themeTint="000080" w:val="single"/>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b w:val="1"/>
        <w:color w:val="7f7f7f" w:themeColor="text1" w:themeShade="000095" w:themeTint="000080"/>
      </w:rPr>
      <w:tblPr/>
      <w:tcPr>
        <w:tcBorders>
          <w:bottom w:color="7f7f7f" w:space="0" w:sz="12" w:themeColor="text1" w:themeTint="000080" w:val="single"/>
        </w:tcBorders>
      </w:tcPr>
    </w:tblStylePr>
    <w:tblStylePr w:type="lastRow">
      <w:rPr>
        <w:b w:val="1"/>
        <w:color w:val="7f7f7f" w:themeColor="text1" w:themeShade="000095" w:themeTint="000080"/>
      </w:rPr>
    </w:tblStylePr>
    <w:tblStylePr w:type="firstCol">
      <w:rPr>
        <w:b w:val="1"/>
        <w:color w:val="7f7f7f" w:themeColor="text1" w:themeShade="000095" w:themeTint="000080"/>
      </w:rPr>
    </w:tblStylePr>
    <w:tblStylePr w:type="lastCol">
      <w:rPr>
        <w:b w:val="1"/>
        <w:color w:val="7f7f7f" w:themeColor="text1" w:themeShade="000095" w:themeTint="000080"/>
      </w:rPr>
    </w:tblStylePr>
    <w:tblStylePr w:type="band1Vert">
      <w:tblPr/>
      <w:tcPr>
        <w:shd w:color="auto" w:fill="cbcbcb" w:themeFill="text1" w:themeFillTint="000034" w:val="clear"/>
      </w:tcPr>
    </w:tblStylePr>
    <w:tblStylePr w:type="band1Horz">
      <w:rPr>
        <w:rFonts w:ascii="Arial" w:hAnsi="Arial"/>
        <w:color w:val="7f7f7f" w:themeColor="text1" w:themeShade="000095" w:themeTint="000080"/>
        <w:sz w:val="22"/>
      </w:rPr>
      <w:tblPr/>
      <w:tcPr>
        <w:shd w:color="auto" w:fill="cbcbcb" w:themeFill="text1" w:themeFillTint="000034" w:val="clear"/>
      </w:tcPr>
    </w:tblStylePr>
    <w:tblStylePr w:type="band2Horz">
      <w:rPr>
        <w:rFonts w:ascii="Arial" w:hAnsi="Arial"/>
        <w:color w:val="7f7f7f" w:themeColor="text1" w:themeShade="000095" w:themeTint="000080"/>
        <w:sz w:val="22"/>
      </w:rPr>
    </w:tblStylePr>
  </w:style>
  <w:style w:type="table" w:styleId="GridTable6Colorful-Accent11" w:customStyle="1">
    <w:name w:val="Grid Table 6 Colorful - Accent 11"/>
    <w:basedOn w:val="TableNormal"/>
    <w:uiPriority w:val="99"/>
    <w:tblPr>
      <w:tblStyleRowBandSize w:val="1"/>
      <w:tblStyleColBandSize w:val="1"/>
      <w:tblBorders>
        <w:top w:color="acccea" w:space="0" w:sz="4" w:themeColor="accent1" w:themeTint="000080" w:val="single"/>
        <w:left w:color="acccea" w:space="0" w:sz="4" w:themeColor="accent1" w:themeTint="000080" w:val="single"/>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b w:val="1"/>
        <w:color w:val="acccea" w:themeColor="accent1" w:themeShade="000095" w:themeTint="000080"/>
      </w:rPr>
      <w:tblPr/>
      <w:tcPr>
        <w:tcBorders>
          <w:bottom w:color="acccea" w:space="0" w:sz="12" w:themeColor="accent1" w:themeTint="000080" w:val="single"/>
        </w:tcBorders>
      </w:tcPr>
    </w:tblStylePr>
    <w:tblStylePr w:type="lastRow">
      <w:rPr>
        <w:b w:val="1"/>
        <w:color w:val="acccea" w:themeColor="accent1" w:themeShade="000095" w:themeTint="000080"/>
      </w:rPr>
    </w:tblStylePr>
    <w:tblStylePr w:type="firstCol">
      <w:rPr>
        <w:b w:val="1"/>
        <w:color w:val="acccea" w:themeColor="accent1" w:themeShade="000095" w:themeTint="000080"/>
      </w:rPr>
    </w:tblStylePr>
    <w:tblStylePr w:type="lastCol">
      <w:rPr>
        <w:b w:val="1"/>
        <w:color w:val="acccea" w:themeColor="accent1" w:themeShade="000095" w:themeTint="000080"/>
      </w:r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6Colorful-Accent21" w:customStyle="1">
    <w:name w:val="Grid Table 6 Colorful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f4b184" w:themeColor="accent2" w:themeShade="000095" w:themeTint="000097"/>
      </w:rPr>
      <w:tblPr/>
      <w:tcPr>
        <w:tcBorders>
          <w:bottom w:color="f4b184" w:space="0" w:sz="12" w:themeColor="accent2" w:themeTint="000097" w:val="single"/>
        </w:tcBorders>
      </w:tcPr>
    </w:tblStylePr>
    <w:tblStylePr w:type="lastRow">
      <w:rPr>
        <w:b w:val="1"/>
        <w:color w:val="f4b184" w:themeColor="accent2" w:themeShade="000095" w:themeTint="000097"/>
      </w:r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6Colorful-Accent31" w:customStyle="1">
    <w:name w:val="Grid Table 6 Colorful - Accent 31"/>
    <w:basedOn w:val="TableNormal"/>
    <w:uiPriority w:val="99"/>
    <w:tblPr>
      <w:tblStyleRowBandSize w:val="1"/>
      <w:tblStyleColBandSize w:val="1"/>
      <w:tbl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a5a5a5" w:themeColor="accent3" w:themeShade="000095" w:themeTint="0000FE"/>
      </w:rPr>
      <w:tblPr/>
      <w:tcPr>
        <w:tcBorders>
          <w:bottom w:color="a5a5a5" w:space="0" w:sz="12" w:themeColor="accent3" w:themeTint="0000FE" w:val="single"/>
        </w:tcBorders>
      </w:tcPr>
    </w:tblStylePr>
    <w:tblStylePr w:type="lastRow">
      <w:rPr>
        <w:b w:val="1"/>
        <w:color w:val="a5a5a5" w:themeColor="accent3" w:themeShade="000095" w:themeTint="0000FE"/>
      </w:rPr>
    </w:tblStylePr>
    <w:tblStylePr w:type="firstCol">
      <w:rPr>
        <w:b w:val="1"/>
        <w:color w:val="a5a5a5" w:themeColor="accent3" w:themeShade="000095" w:themeTint="0000FE"/>
      </w:rPr>
    </w:tblStylePr>
    <w:tblStylePr w:type="lastCol">
      <w:rPr>
        <w:b w:val="1"/>
        <w:color w:val="a5a5a5" w:themeColor="accent3" w:themeShade="000095" w:themeTint="0000FE"/>
      </w:r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6Colorful-Accent41" w:customStyle="1">
    <w:name w:val="Grid Table 6 Colorful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ffd865" w:themeColor="accent4" w:themeShade="000095" w:themeTint="00009A"/>
      </w:rPr>
      <w:tblPr/>
      <w:tcPr>
        <w:tcBorders>
          <w:bottom w:color="ffd865" w:space="0" w:sz="12" w:themeColor="accent4" w:themeTint="00009A" w:val="single"/>
        </w:tcBorders>
      </w:tcPr>
    </w:tblStylePr>
    <w:tblStylePr w:type="lastRow">
      <w:rPr>
        <w:b w:val="1"/>
        <w:color w:val="ffd865" w:themeColor="accent4" w:themeShade="000095" w:themeTint="00009A"/>
      </w:r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6Colorful-Accent51" w:customStyle="1">
    <w:name w:val="Grid Table 6 Colorful - Accent 51"/>
    <w:basedOn w:val="TableNormal"/>
    <w:uiPriority w:val="99"/>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insideH w:color="4472c4" w:space="0" w:sz="4" w:themeColor="accent5" w:val="single"/>
        <w:insideV w:color="4472c4" w:space="0" w:sz="4" w:themeColor="accent5" w:val="single"/>
      </w:tblBorders>
    </w:tblPr>
    <w:tblStylePr w:type="firstRow">
      <w:rPr>
        <w:b w:val="1"/>
        <w:color w:val="254175" w:themeColor="accent5" w:themeShade="000095"/>
      </w:rPr>
      <w:tblPr/>
      <w:tcPr>
        <w:tcBorders>
          <w:bottom w:color="4472c4" w:space="0" w:sz="12" w:themeColor="accent5"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6Colorful-Accent61" w:customStyle="1">
    <w:name w:val="Grid Table 6 Colorful - Accent 61"/>
    <w:basedOn w:val="TableNormal"/>
    <w:uiPriority w:val="99"/>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insideH w:color="70ad47" w:space="0" w:sz="4" w:themeColor="accent6" w:val="single"/>
        <w:insideV w:color="70ad47" w:space="0" w:sz="4" w:themeColor="accent6" w:val="single"/>
      </w:tblBorders>
    </w:tblPr>
    <w:tblStylePr w:type="firstRow">
      <w:rPr>
        <w:b w:val="1"/>
        <w:color w:val="254175" w:themeColor="accent5" w:themeShade="000095"/>
      </w:rPr>
      <w:tblPr/>
      <w:tcPr>
        <w:tcBorders>
          <w:bottom w:color="70ad47" w:space="0" w:sz="12" w:themeColor="accent6"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e1efd8" w:themeFill="accent6" w:themeFillTint="000034" w:val="clear"/>
      </w:tcPr>
    </w:tblStylePr>
    <w:tblStylePr w:type="band1Horz">
      <w:rPr>
        <w:rFonts w:ascii="Arial" w:hAnsi="Arial"/>
        <w:color w:val="254175" w:themeColor="accent5" w:themeShade="000095"/>
        <w:sz w:val="22"/>
      </w:rPr>
      <w:tblPr/>
      <w:tcPr>
        <w:shd w:color="auto" w:fill="e1efd8" w:themeFill="accent6" w:themeFillTint="000034" w:val="clear"/>
      </w:tcPr>
    </w:tblStylePr>
    <w:tblStylePr w:type="band2Horz">
      <w:rPr>
        <w:rFonts w:ascii="Arial" w:hAnsi="Arial"/>
        <w:color w:val="254175" w:themeColor="accent5" w:themeShade="000095"/>
        <w:sz w:val="22"/>
      </w:rPr>
    </w:tblStylePr>
  </w:style>
  <w:style w:type="table" w:styleId="GridTable7Colorful">
    <w:name w:val="Grid Table 7 Colorful"/>
    <w:basedOn w:val="TableNormal"/>
    <w:uiPriority w:val="99"/>
    <w:tblPr>
      <w:tblStyleRowBandSize w:val="1"/>
      <w:tblStyleColBandSize w:val="1"/>
      <w:tblBorders>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rFonts w:ascii="Arial" w:hAnsi="Arial"/>
        <w:b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b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f2f2f2" w:themeFill="text1" w:themeFillTint="00000D" w:val="clear"/>
      </w:tcPr>
    </w:tblStylePr>
    <w:tblStylePr w:type="band1Horz">
      <w:rPr>
        <w:rFonts w:ascii="Arial" w:hAnsi="Arial"/>
        <w:color w:val="7f7f7f" w:themeColor="text1" w:themeShade="000095" w:themeTint="000080"/>
        <w:sz w:val="22"/>
      </w:rPr>
      <w:tblPr/>
      <w:tcPr>
        <w:shd w:color="auto" w:fill="f2f2f2" w:themeFill="text1" w:themeFillTint="00000D" w:val="clear"/>
      </w:tcPr>
    </w:tblStylePr>
    <w:tblStylePr w:type="band2Horz">
      <w:rPr>
        <w:rFonts w:ascii="Arial" w:hAnsi="Arial"/>
        <w:color w:val="7f7f7f" w:themeColor="text1" w:themeShade="000095" w:themeTint="000080"/>
        <w:sz w:val="22"/>
      </w:rPr>
    </w:tblStylePr>
  </w:style>
  <w:style w:type="table" w:styleId="GridTable7Colorful-Accent11" w:customStyle="1">
    <w:name w:val="Grid Table 7 Colorful - Accent 11"/>
    <w:basedOn w:val="TableNormal"/>
    <w:uiPriority w:val="99"/>
    <w:tblPr>
      <w:tblStyleRowBandSize w:val="1"/>
      <w:tblStyleColBandSize w:val="1"/>
      <w:tblBorders>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rFonts w:ascii="Arial" w:hAnsi="Arial"/>
        <w:b w:val="1"/>
        <w:color w:val="acccea" w:themeColor="accent1" w:themeShade="000095" w:themeTint="000080"/>
        <w:sz w:val="22"/>
      </w:rPr>
      <w:tblPr/>
      <w:tcPr>
        <w:tcBorders>
          <w:top w:color="000000" w:space="0" w:sz="4" w:val="none"/>
          <w:left w:color="000000" w:space="0" w:sz="4" w:val="none"/>
          <w:bottom w:color="acccea" w:space="0" w:sz="4" w:themeColor="accent1" w:themeTint="000080" w:val="single"/>
          <w:right w:color="000000" w:space="0" w:sz="4" w:val="none"/>
        </w:tcBorders>
        <w:shd w:color="auto" w:fill="ffffff" w:themeFill="light1" w:val="clear"/>
      </w:tcPr>
    </w:tblStylePr>
    <w:tblStylePr w:type="lastRow">
      <w:rPr>
        <w:rFonts w:ascii="Arial" w:hAnsi="Arial"/>
        <w:b w:val="1"/>
        <w:color w:val="acccea" w:themeColor="accent1" w:themeShade="000095" w:themeTint="000080"/>
        <w:sz w:val="22"/>
      </w:rPr>
      <w:tblPr/>
      <w:tcPr>
        <w:tcBorders>
          <w:top w:color="acccea" w:space="0" w:sz="4" w:themeColor="accen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cccea" w:themeColor="accent1" w:themeShade="000095" w:themeTint="000080"/>
        <w:sz w:val="22"/>
      </w:rPr>
      <w:tblPr/>
      <w:tcPr>
        <w:tcBorders>
          <w:top w:color="000000" w:space="0" w:sz="4" w:val="none"/>
          <w:left w:color="000000" w:space="0" w:sz="4" w:val="none"/>
          <w:bottom w:color="000000" w:space="0" w:sz="4" w:val="none"/>
          <w:right w:color="acccea" w:space="0" w:sz="4" w:themeColor="accent1" w:themeTint="000080" w:val="single"/>
        </w:tcBorders>
        <w:shd w:color="auto" w:fill="ffffff" w:val="clear"/>
      </w:tcPr>
    </w:tblStylePr>
    <w:tblStylePr w:type="lastCol">
      <w:rPr>
        <w:rFonts w:ascii="Arial" w:hAnsi="Arial"/>
        <w:i w:val="1"/>
        <w:color w:val="acccea" w:themeColor="accent1" w:themeShade="000095" w:themeTint="000080"/>
        <w:sz w:val="22"/>
      </w:rPr>
      <w:tblPr/>
      <w:tcPr>
        <w:tcBorders>
          <w:top w:color="000000" w:space="0" w:sz="4" w:val="none"/>
          <w:left w:color="acccea" w:space="0" w:sz="4" w:themeColor="accent1" w:themeTint="000080" w:val="single"/>
          <w:bottom w:color="000000" w:space="0" w:sz="4" w:val="none"/>
          <w:right w:color="000000" w:space="0" w:sz="4" w:val="none"/>
        </w:tcBorders>
        <w:shd w:color="auto" w:fill="ffffff" w:val="clear"/>
      </w:tc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7Colorful-Accent21" w:customStyle="1">
    <w:name w:val="Grid Table 7 Colorful - Accent 21"/>
    <w:basedOn w:val="TableNormal"/>
    <w:uiPriority w:val="99"/>
    <w:tblPr>
      <w:tblStyleRowBandSize w:val="1"/>
      <w:tblStyleColBandSize w:val="1"/>
      <w:tblBorders>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rFonts w:ascii="Arial" w:hAnsi="Arial"/>
        <w:b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b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7Colorful-Accent31" w:customStyle="1">
    <w:name w:val="Grid Table 7 Colorful - Accent 31"/>
    <w:basedOn w:val="TableNormal"/>
    <w:uiPriority w:val="99"/>
    <w:tblPr>
      <w:tblStyleRowBandSize w:val="1"/>
      <w:tblStyleColBandSize w:val="1"/>
      <w:tblBorders>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rFonts w:ascii="Arial" w:hAnsi="Arial"/>
        <w:b w:val="1"/>
        <w:color w:val="a5a5a5" w:themeColor="accent3" w:themeShade="000095" w:themeTint="0000FE"/>
        <w:sz w:val="22"/>
      </w:rPr>
      <w:tblPr/>
      <w:tcPr>
        <w:tcBorders>
          <w:top w:color="000000" w:space="0" w:sz="4" w:val="none"/>
          <w:left w:color="000000" w:space="0" w:sz="4" w:val="none"/>
          <w:bottom w:color="a5a5a5" w:space="0" w:sz="4" w:themeColor="accent3" w:themeTint="0000FE" w:val="single"/>
          <w:right w:color="000000" w:space="0" w:sz="4" w:val="none"/>
        </w:tcBorders>
        <w:shd w:color="auto" w:fill="ffffff" w:themeFill="light1" w:val="clear"/>
      </w:tcPr>
    </w:tblStylePr>
    <w:tblStylePr w:type="lastRow">
      <w:rPr>
        <w:rFonts w:ascii="Arial" w:hAnsi="Arial"/>
        <w:b w:val="1"/>
        <w:color w:val="a5a5a5" w:themeColor="accent3" w:themeShade="000095" w:themeTint="0000FE"/>
        <w:sz w:val="22"/>
      </w:rPr>
      <w:tblPr/>
      <w:tcPr>
        <w:tcBorders>
          <w:top w:color="a5a5a5" w:space="0" w:sz="4" w:themeColor="accent3" w:themeTint="0000FE"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5a5a5" w:themeColor="accent3" w:themeShade="000095" w:themeTint="0000FE"/>
        <w:sz w:val="22"/>
      </w:rPr>
      <w:tblPr/>
      <w:tcPr>
        <w:tcBorders>
          <w:top w:color="000000" w:space="0" w:sz="4" w:val="none"/>
          <w:left w:color="000000" w:space="0" w:sz="4" w:val="none"/>
          <w:bottom w:color="000000" w:space="0" w:sz="4" w:val="none"/>
          <w:right w:color="a5a5a5" w:space="0" w:sz="4" w:themeColor="accent3" w:themeTint="0000FE" w:val="single"/>
        </w:tcBorders>
        <w:shd w:color="auto" w:fill="ffffff" w:val="clear"/>
      </w:tcPr>
    </w:tblStylePr>
    <w:tblStylePr w:type="lastCol">
      <w:rPr>
        <w:rFonts w:ascii="Arial" w:hAnsi="Arial"/>
        <w:i w:val="1"/>
        <w:color w:val="a5a5a5" w:themeColor="accent3" w:themeShade="000095" w:themeTint="0000FE"/>
        <w:sz w:val="22"/>
      </w:rPr>
      <w:tblPr/>
      <w:tcPr>
        <w:tcBorders>
          <w:top w:color="000000" w:space="0" w:sz="4" w:val="none"/>
          <w:left w:color="a5a5a5" w:space="0" w:sz="4" w:themeColor="accent3" w:themeTint="0000FE" w:val="single"/>
          <w:bottom w:color="000000" w:space="0" w:sz="4" w:val="none"/>
          <w:right w:color="000000" w:space="0" w:sz="4" w:val="none"/>
        </w:tcBorders>
        <w:shd w:color="auto" w:fill="ffffff" w:val="clear"/>
      </w:tc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7Colorful-Accent41" w:customStyle="1">
    <w:name w:val="Grid Table 7 Colorful - Accent 41"/>
    <w:basedOn w:val="TableNormal"/>
    <w:uiPriority w:val="99"/>
    <w:tblPr>
      <w:tblStyleRowBandSize w:val="1"/>
      <w:tblStyleColBandSize w:val="1"/>
      <w:tblBorders>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rFonts w:ascii="Arial" w:hAnsi="Arial"/>
        <w:b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b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7Colorful-Accent51" w:customStyle="1">
    <w:name w:val="Grid Table 7 Colorful - Accent 51"/>
    <w:basedOn w:val="TableNormal"/>
    <w:uiPriority w:val="99"/>
    <w:tblPr>
      <w:tblStyleRowBandSize w:val="1"/>
      <w:tblStyleColBandSize w:val="1"/>
      <w:tblBorders>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254175" w:themeColor="accent5" w:themeShade="000095"/>
        <w:sz w:val="22"/>
      </w:rPr>
      <w:tblPr/>
      <w:tcPr>
        <w:tcBorders>
          <w:top w:color="000000" w:space="0" w:sz="4" w:val="none"/>
          <w:left w:color="000000" w:space="0" w:sz="4" w:val="none"/>
          <w:bottom w:color="95afdd" w:space="0" w:sz="4" w:themeColor="accent5" w:themeTint="000090" w:val="single"/>
          <w:right w:color="000000" w:space="0" w:sz="4" w:val="none"/>
        </w:tcBorders>
        <w:shd w:color="auto" w:fill="ffffff" w:themeFill="light1" w:val="clear"/>
      </w:tcPr>
    </w:tblStylePr>
    <w:tblStylePr w:type="lastRow">
      <w:rPr>
        <w:rFonts w:ascii="Arial" w:hAnsi="Arial"/>
        <w:b w:val="1"/>
        <w:color w:val="254175" w:themeColor="accent5" w:themeShade="000095"/>
        <w:sz w:val="22"/>
      </w:rPr>
      <w:tblPr/>
      <w:tcPr>
        <w:tcBorders>
          <w:top w:color="95afdd" w:space="0" w:sz="4" w:themeColor="accent5"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54175" w:themeColor="accent5" w:themeShade="000095"/>
        <w:sz w:val="22"/>
      </w:rPr>
      <w:tblPr/>
      <w:tcPr>
        <w:tcBorders>
          <w:top w:color="000000" w:space="0" w:sz="4" w:val="none"/>
          <w:left w:color="000000" w:space="0" w:sz="4" w:val="none"/>
          <w:bottom w:color="000000" w:space="0" w:sz="4" w:val="none"/>
          <w:right w:color="95afdd" w:space="0" w:sz="4" w:themeColor="accent5" w:themeTint="000090" w:val="single"/>
        </w:tcBorders>
        <w:shd w:color="auto" w:fill="ffffff" w:val="clear"/>
      </w:tcPr>
    </w:tblStylePr>
    <w:tblStylePr w:type="lastCol">
      <w:rPr>
        <w:rFonts w:ascii="Arial" w:hAnsi="Arial"/>
        <w:i w:val="1"/>
        <w:color w:val="254175" w:themeColor="accent5" w:themeShade="000095"/>
        <w:sz w:val="22"/>
      </w:rPr>
      <w:tblPr/>
      <w:tcPr>
        <w:tcBorders>
          <w:top w:color="000000" w:space="0" w:sz="4" w:val="none"/>
          <w:left w:color="95afdd" w:space="0" w:sz="4" w:themeColor="accent5" w:themeTint="000090" w:val="single"/>
          <w:bottom w:color="000000" w:space="0" w:sz="4" w:val="none"/>
          <w:right w:color="000000" w:space="0" w:sz="4" w:val="none"/>
        </w:tcBorders>
        <w:shd w:color="auto" w:fill="ffffff" w:val="clear"/>
      </w:tc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7Colorful-Accent61" w:customStyle="1">
    <w:name w:val="Grid Table 7 Colorful - Accent 61"/>
    <w:basedOn w:val="TableNormal"/>
    <w:uiPriority w:val="99"/>
    <w:tblPr>
      <w:tblStyleRowBandSize w:val="1"/>
      <w:tblStyleColBandSize w:val="1"/>
      <w:tblBorders>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416429" w:themeColor="accent6" w:themeShade="000095"/>
        <w:sz w:val="22"/>
      </w:rPr>
      <w:tblPr/>
      <w:tcPr>
        <w:tcBorders>
          <w:top w:color="000000" w:space="0" w:sz="4" w:val="none"/>
          <w:left w:color="000000" w:space="0" w:sz="4" w:val="none"/>
          <w:bottom w:color="add394" w:space="0" w:sz="4" w:themeColor="accent6" w:themeTint="000090" w:val="single"/>
          <w:right w:color="000000" w:space="0" w:sz="4" w:val="none"/>
        </w:tcBorders>
        <w:shd w:color="auto" w:fill="ffffff" w:themeFill="light1" w:val="clear"/>
      </w:tcPr>
    </w:tblStylePr>
    <w:tblStylePr w:type="lastRow">
      <w:rPr>
        <w:rFonts w:ascii="Arial" w:hAnsi="Arial"/>
        <w:b w:val="1"/>
        <w:color w:val="416429" w:themeColor="accent6" w:themeShade="000095"/>
        <w:sz w:val="22"/>
      </w:rPr>
      <w:tblPr/>
      <w:tcPr>
        <w:tcBorders>
          <w:top w:color="add394" w:space="0" w:sz="4" w:themeColor="accent6"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416429" w:themeColor="accent6" w:themeShade="000095"/>
        <w:sz w:val="22"/>
      </w:rPr>
      <w:tblPr/>
      <w:tcPr>
        <w:tcBorders>
          <w:top w:color="000000" w:space="0" w:sz="4" w:val="none"/>
          <w:left w:color="000000" w:space="0" w:sz="4" w:val="none"/>
          <w:bottom w:color="000000" w:space="0" w:sz="4" w:val="none"/>
          <w:right w:color="add394" w:space="0" w:sz="4" w:themeColor="accent6" w:themeTint="000090" w:val="single"/>
        </w:tcBorders>
        <w:shd w:color="auto" w:fill="ffffff" w:val="clear"/>
      </w:tcPr>
    </w:tblStylePr>
    <w:tblStylePr w:type="lastCol">
      <w:rPr>
        <w:rFonts w:ascii="Arial" w:hAnsi="Arial"/>
        <w:i w:val="1"/>
        <w:color w:val="416429" w:themeColor="accent6" w:themeShade="000095"/>
        <w:sz w:val="22"/>
      </w:rPr>
      <w:tblPr/>
      <w:tcPr>
        <w:tcBorders>
          <w:top w:color="000000" w:space="0" w:sz="4" w:val="none"/>
          <w:left w:color="add394" w:space="0" w:sz="4" w:themeColor="accent6" w:themeTint="000090" w:val="single"/>
          <w:bottom w:color="000000" w:space="0" w:sz="4" w:val="none"/>
          <w:right w:color="000000" w:space="0" w:sz="4" w:val="none"/>
        </w:tcBorders>
        <w:shd w:color="auto" w:fill="ffffff" w:val="clear"/>
      </w:tcPr>
    </w:tblStylePr>
    <w:tblStylePr w:type="band1Vert">
      <w:tblPr/>
      <w:tcPr>
        <w:shd w:color="auto" w:fill="e1efd8" w:themeFill="accent6" w:themeFillTint="000034" w:val="clear"/>
      </w:tcPr>
    </w:tblStylePr>
    <w:tblStylePr w:type="band1Horz">
      <w:rPr>
        <w:rFonts w:ascii="Arial" w:hAnsi="Arial"/>
        <w:color w:val="416429" w:themeColor="accent6" w:themeShade="000095"/>
        <w:sz w:val="22"/>
      </w:rPr>
      <w:tblPr/>
      <w:tcPr>
        <w:shd w:color="auto" w:fill="e1efd8" w:themeFill="accent6" w:themeFillTint="000034" w:val="clear"/>
      </w:tcPr>
    </w:tblStylePr>
    <w:tblStylePr w:type="band2Horz">
      <w:rPr>
        <w:rFonts w:ascii="Arial" w:hAnsi="Arial"/>
        <w:color w:val="416429" w:themeColor="accent6" w:themeShade="000095"/>
        <w:sz w:val="22"/>
      </w:rPr>
    </w:tblStylePr>
  </w:style>
  <w:style w:type="table" w:styleId="ListTable1Light">
    <w:name w:val="List Table 1 Light"/>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000000" w:space="0" w:sz="4" w:themeColor="text1" w:val="single"/>
          <w:right w:color="000000" w:space="0" w:sz="4" w:val="none"/>
        </w:tcBorders>
      </w:tcPr>
    </w:tblStylePr>
    <w:tblStylePr w:type="lastRow">
      <w:rPr>
        <w:b w:val="1"/>
        <w:color w:val="404040"/>
      </w:rPr>
      <w:tblPr/>
      <w:tcPr>
        <w:tcBorders>
          <w:top w:color="000000" w:space="0" w:sz="4" w:themeColor="tex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bfbfbf" w:themeFill="text1" w:themeFillTint="000040" w:val="clear"/>
      </w:tcPr>
    </w:tblStylePr>
    <w:tblStylePr w:type="band1Horz">
      <w:tblPr/>
      <w:tcPr>
        <w:shd w:color="auto" w:fill="bfbfbf" w:themeFill="text1" w:themeFillTint="000040" w:val="clear"/>
      </w:tcPr>
    </w:tblStylePr>
  </w:style>
  <w:style w:type="table" w:styleId="ListTable1Light-Accent11" w:customStyle="1">
    <w:name w:val="List Table 1 Light - Accent 1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5b9bd5" w:space="0" w:sz="4" w:themeColor="accent1" w:val="single"/>
          <w:right w:color="000000" w:space="0" w:sz="4" w:val="none"/>
        </w:tcBorders>
      </w:tcPr>
    </w:tblStylePr>
    <w:tblStylePr w:type="lastRow">
      <w:rPr>
        <w:b w:val="1"/>
        <w:color w:val="404040"/>
      </w:rPr>
      <w:tblPr/>
      <w:tcPr>
        <w:tcBorders>
          <w:top w:color="5b9bd5" w:space="0" w:sz="4" w:themeColor="accen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5e5f4" w:themeFill="accent1" w:themeFillTint="000040" w:val="clear"/>
      </w:tcPr>
    </w:tblStylePr>
    <w:tblStylePr w:type="band1Horz">
      <w:tblPr/>
      <w:tcPr>
        <w:shd w:color="auto" w:fill="d5e5f4" w:themeFill="accent1" w:themeFillTint="000040" w:val="clear"/>
      </w:tcPr>
    </w:tblStylePr>
  </w:style>
  <w:style w:type="table" w:styleId="ListTable1Light-Accent21" w:customStyle="1">
    <w:name w:val="List Table 1 Light - Accent 2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ed7d31" w:space="0" w:sz="4" w:themeColor="accent2" w:val="single"/>
          <w:right w:color="000000" w:space="0" w:sz="4" w:val="none"/>
        </w:tcBorders>
      </w:tcPr>
    </w:tblStylePr>
    <w:tblStylePr w:type="lastRow">
      <w:rPr>
        <w:b w:val="1"/>
        <w:color w:val="404040"/>
      </w:rPr>
      <w:tblPr/>
      <w:tcPr>
        <w:tcBorders>
          <w:top w:color="ed7d31" w:space="0" w:sz="4" w:themeColor="accent2"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adecb" w:themeFill="accent2" w:themeFillTint="000040" w:val="clear"/>
      </w:tcPr>
    </w:tblStylePr>
    <w:tblStylePr w:type="band1Horz">
      <w:tblPr/>
      <w:tcPr>
        <w:shd w:color="auto" w:fill="fadecb" w:themeFill="accent2" w:themeFillTint="000040" w:val="clear"/>
      </w:tcPr>
    </w:tblStylePr>
  </w:style>
  <w:style w:type="table" w:styleId="ListTable1Light-Accent31" w:customStyle="1">
    <w:name w:val="List Table 1 Light - Accent 3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a5a5a5" w:space="0" w:sz="4" w:themeColor="accent3" w:val="single"/>
          <w:right w:color="000000" w:space="0" w:sz="4" w:val="none"/>
        </w:tcBorders>
      </w:tcPr>
    </w:tblStylePr>
    <w:tblStylePr w:type="lastRow">
      <w:rPr>
        <w:b w:val="1"/>
        <w:color w:val="404040"/>
      </w:rPr>
      <w:tblPr/>
      <w:tcPr>
        <w:tcBorders>
          <w:top w:color="a5a5a5" w:space="0" w:sz="4" w:themeColor="accent3"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e8e8e8" w:themeFill="accent3" w:themeFillTint="000040" w:val="clear"/>
      </w:tcPr>
    </w:tblStylePr>
    <w:tblStylePr w:type="band1Horz">
      <w:tblPr/>
      <w:tcPr>
        <w:shd w:color="auto" w:fill="e8e8e8" w:themeFill="accent3" w:themeFillTint="000040" w:val="clear"/>
      </w:tcPr>
    </w:tblStylePr>
  </w:style>
  <w:style w:type="table" w:styleId="ListTable1Light-Accent41" w:customStyle="1">
    <w:name w:val="List Table 1 Light - Accent 4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ffc000" w:space="0" w:sz="4" w:themeColor="accent4" w:val="single"/>
          <w:right w:color="000000" w:space="0" w:sz="4" w:val="none"/>
        </w:tcBorders>
      </w:tcPr>
    </w:tblStylePr>
    <w:tblStylePr w:type="lastRow">
      <w:rPr>
        <w:b w:val="1"/>
        <w:color w:val="404040"/>
      </w:rPr>
      <w:tblPr/>
      <w:tcPr>
        <w:tcBorders>
          <w:top w:color="ffc000" w:space="0" w:sz="4" w:themeColor="accent4"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fefbf" w:themeFill="accent4" w:themeFillTint="000040" w:val="clear"/>
      </w:tcPr>
    </w:tblStylePr>
    <w:tblStylePr w:type="band1Horz">
      <w:tblPr/>
      <w:tcPr>
        <w:shd w:color="auto" w:fill="ffefbf" w:themeFill="accent4" w:themeFillTint="000040" w:val="clear"/>
      </w:tcPr>
    </w:tblStylePr>
  </w:style>
  <w:style w:type="table" w:styleId="ListTable1Light-Accent51" w:customStyle="1">
    <w:name w:val="List Table 1 Light - Accent 5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4472c4" w:space="0" w:sz="4" w:themeColor="accent5" w:val="single"/>
          <w:right w:color="000000" w:space="0" w:sz="4" w:val="none"/>
        </w:tcBorders>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cfdbf0" w:themeFill="accent5" w:themeFillTint="000040" w:val="clear"/>
      </w:tcPr>
    </w:tblStylePr>
    <w:tblStylePr w:type="band1Horz">
      <w:tblPr/>
      <w:tcPr>
        <w:shd w:color="auto" w:fill="cfdbf0" w:themeFill="accent5" w:themeFillTint="000040" w:val="clear"/>
      </w:tcPr>
    </w:tblStylePr>
  </w:style>
  <w:style w:type="table" w:styleId="ListTable1Light-Accent61" w:customStyle="1">
    <w:name w:val="List Table 1 Light - Accent 6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70ad47" w:space="0" w:sz="4" w:themeColor="accent6" w:val="single"/>
          <w:right w:color="000000" w:space="0" w:sz="4" w:val="none"/>
        </w:tcBorders>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aebcf" w:themeFill="accent6" w:themeFillTint="000040" w:val="clear"/>
      </w:tcPr>
    </w:tblStylePr>
    <w:tblStylePr w:type="band1Horz">
      <w:tblPr/>
      <w:tcPr>
        <w:shd w:color="auto" w:fill="daebcf" w:themeFill="accent6" w:themeFillTint="000040" w:val="clear"/>
      </w:tcPr>
    </w:tblStylePr>
  </w:style>
  <w:style w:type="table" w:styleId="ListTable2">
    <w:name w:val="List Table 2"/>
    <w:basedOn w:val="TableNormal"/>
    <w:uiPriority w:val="99"/>
    <w:tblPr>
      <w:tblStyleRowBandSize w:val="1"/>
      <w:tblStyleColBandSize w:val="1"/>
      <w:tblBorders>
        <w:top w:color="6f6f6f" w:space="0" w:sz="4" w:themeColor="text1" w:themeTint="000090" w:val="single"/>
        <w:bottom w:color="6f6f6f" w:space="0" w:sz="4" w:themeColor="text1" w:themeTint="000090" w:val="single"/>
        <w:insideH w:color="6f6f6f" w:space="0" w:sz="4" w:themeColor="text1" w:themeTint="000090" w:val="single"/>
      </w:tblBorders>
    </w:tblPr>
    <w:tblStylePr w:type="fir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la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2-Accent11" w:customStyle="1">
    <w:name w:val="List Table 2 - Accent 11"/>
    <w:basedOn w:val="TableNormal"/>
    <w:uiPriority w:val="99"/>
    <w:tblPr>
      <w:tblStyleRowBandSize w:val="1"/>
      <w:tblStyleColBandSize w:val="1"/>
      <w:tblBorders>
        <w:top w:color="a2c6e7" w:space="0" w:sz="4" w:themeColor="accent1" w:themeTint="000090" w:val="single"/>
        <w:bottom w:color="a2c6e7" w:space="0" w:sz="4" w:themeColor="accent1" w:themeTint="000090" w:val="single"/>
        <w:insideH w:color="a2c6e7" w:space="0" w:sz="4" w:themeColor="accent1" w:themeTint="000090" w:val="single"/>
      </w:tblBorders>
    </w:tblPr>
    <w:tblStylePr w:type="fir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la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2-Accent21" w:customStyle="1">
    <w:name w:val="List Table 2 - Accent 21"/>
    <w:basedOn w:val="TableNormal"/>
    <w:uiPriority w:val="99"/>
    <w:tblPr>
      <w:tblStyleRowBandSize w:val="1"/>
      <w:tblStyleColBandSize w:val="1"/>
      <w:tblBorders>
        <w:top w:color="f4b58a" w:space="0" w:sz="4" w:themeColor="accent2" w:themeTint="000090" w:val="single"/>
        <w:bottom w:color="f4b58a" w:space="0" w:sz="4" w:themeColor="accent2" w:themeTint="000090" w:val="single"/>
        <w:insideH w:color="f4b58a" w:space="0" w:sz="4" w:themeColor="accent2" w:themeTint="000090" w:val="single"/>
      </w:tblBorders>
    </w:tblPr>
    <w:tblStylePr w:type="fir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la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2-Accent31" w:customStyle="1">
    <w:name w:val="List Table 2 - Accent 31"/>
    <w:basedOn w:val="TableNormal"/>
    <w:uiPriority w:val="99"/>
    <w:tblPr>
      <w:tblStyleRowBandSize w:val="1"/>
      <w:tblStyleColBandSize w:val="1"/>
      <w:tblBorders>
        <w:top w:color="cccccc" w:space="0" w:sz="4" w:themeColor="accent3" w:themeTint="000090" w:val="single"/>
        <w:bottom w:color="cccccc" w:space="0" w:sz="4" w:themeColor="accent3" w:themeTint="000090" w:val="single"/>
        <w:insideH w:color="cccccc" w:space="0" w:sz="4" w:themeColor="accent3" w:themeTint="000090" w:val="single"/>
      </w:tblBorders>
    </w:tblPr>
    <w:tblStylePr w:type="fir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la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2-Accent41" w:customStyle="1">
    <w:name w:val="List Table 2 - Accent 41"/>
    <w:basedOn w:val="TableNormal"/>
    <w:uiPriority w:val="99"/>
    <w:tblPr>
      <w:tblStyleRowBandSize w:val="1"/>
      <w:tblStyleColBandSize w:val="1"/>
      <w:tblBorders>
        <w:top w:color="ffdb6f" w:space="0" w:sz="4" w:themeColor="accent4" w:themeTint="000090" w:val="single"/>
        <w:bottom w:color="ffdb6f" w:space="0" w:sz="4" w:themeColor="accent4" w:themeTint="000090" w:val="single"/>
        <w:insideH w:color="ffdb6f" w:space="0" w:sz="4" w:themeColor="accent4" w:themeTint="000090" w:val="single"/>
      </w:tblBorders>
    </w:tblPr>
    <w:tblStylePr w:type="fir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la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2-Accent51" w:customStyle="1">
    <w:name w:val="List Table 2 - Accent 51"/>
    <w:basedOn w:val="TableNormal"/>
    <w:uiPriority w:val="99"/>
    <w:tblPr>
      <w:tblStyleRowBandSize w:val="1"/>
      <w:tblStyleColBandSize w:val="1"/>
      <w:tblBorders>
        <w:top w:color="95afdd" w:space="0" w:sz="4" w:themeColor="accent5" w:themeTint="000090" w:val="single"/>
        <w:bottom w:color="95afdd" w:space="0" w:sz="4" w:themeColor="accent5" w:themeTint="000090" w:val="single"/>
        <w:insideH w:color="95afdd" w:space="0" w:sz="4" w:themeColor="accent5" w:themeTint="000090" w:val="single"/>
      </w:tblBorders>
    </w:tblPr>
    <w:tblStylePr w:type="fir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la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2-Accent61" w:customStyle="1">
    <w:name w:val="List Table 2 - Accent 61"/>
    <w:basedOn w:val="TableNormal"/>
    <w:uiPriority w:val="99"/>
    <w:tblPr>
      <w:tblStyleRowBandSize w:val="1"/>
      <w:tblStyleColBandSize w:val="1"/>
      <w:tblBorders>
        <w:top w:color="add394" w:space="0" w:sz="4" w:themeColor="accent6" w:themeTint="000090" w:val="single"/>
        <w:bottom w:color="add394" w:space="0" w:sz="4" w:themeColor="accent6" w:themeTint="000090" w:val="single"/>
        <w:insideH w:color="add394" w:space="0" w:sz="4" w:themeColor="accent6" w:themeTint="000090" w:val="single"/>
      </w:tblBorders>
    </w:tblPr>
    <w:tblStylePr w:type="fir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la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3">
    <w:name w:val="List Table 3"/>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000000" w:space="0" w:sz="4" w:themeColor="text1" w:val="single"/>
          <w:right w:color="000000" w:space="0" w:sz="4" w:themeColor="text1" w:val="single"/>
        </w:tcBorders>
      </w:tcPr>
    </w:tblStylePr>
    <w:tblStylePr w:type="band1Horz">
      <w:rPr>
        <w:rFonts w:ascii="Arial" w:hAnsi="Arial"/>
        <w:color w:val="404040"/>
        <w:sz w:val="22"/>
      </w:rPr>
      <w:tblPr/>
      <w:tcPr>
        <w:tcBorders>
          <w:top w:color="000000" w:space="0" w:sz="4" w:themeColor="text1" w:val="single"/>
          <w:bottom w:color="000000" w:space="0" w:sz="4" w:themeColor="text1" w:val="single"/>
        </w:tcBorders>
      </w:tcPr>
    </w:tblStylePr>
  </w:style>
  <w:style w:type="table" w:styleId="ListTable3-Accent11" w:customStyle="1">
    <w:name w:val="List Table 3 - Accent 11"/>
    <w:basedOn w:val="TableNormal"/>
    <w:uiPriority w:val="99"/>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5b9bd5" w:space="0" w:sz="4" w:themeColor="accent1" w:val="single"/>
          <w:right w:color="5b9bd5" w:space="0" w:sz="4" w:themeColor="accent1" w:val="single"/>
        </w:tcBorders>
      </w:tcPr>
    </w:tblStylePr>
    <w:tblStylePr w:type="band1Horz">
      <w:rPr>
        <w:rFonts w:ascii="Arial" w:hAnsi="Arial"/>
        <w:color w:val="404040"/>
        <w:sz w:val="22"/>
      </w:rPr>
      <w:tblPr/>
      <w:tcPr>
        <w:tcBorders>
          <w:top w:color="5b9bd5" w:space="0" w:sz="4" w:themeColor="accent1" w:val="single"/>
          <w:bottom w:color="5b9bd5" w:space="0" w:sz="4" w:themeColor="accent1" w:val="single"/>
        </w:tcBorders>
      </w:tcPr>
    </w:tblStylePr>
  </w:style>
  <w:style w:type="table" w:styleId="ListTable3-Accent21" w:customStyle="1">
    <w:name w:val="List Table 3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blBorders>
    </w:tblPr>
    <w:tblStylePr w:type="firstRow">
      <w:rPr>
        <w:rFonts w:ascii="Arial" w:hAnsi="Arial"/>
        <w:b w:val="1"/>
        <w:color w:val="ffffff"/>
        <w:sz w:val="22"/>
      </w:rPr>
      <w:tblPr/>
      <w:tcPr>
        <w:shd w:color="auto" w:fill="f4b184" w:themeFill="accent2" w:themeFillTint="000097"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4b184" w:space="0" w:sz="4" w:themeColor="accent2" w:themeTint="000097" w:val="single"/>
          <w:right w:color="f4b184" w:space="0" w:sz="4" w:themeColor="accent2" w:themeTint="000097" w:val="single"/>
        </w:tcBorders>
      </w:tcPr>
    </w:tblStylePr>
    <w:tblStylePr w:type="band1Horz">
      <w:rPr>
        <w:rFonts w:ascii="Arial" w:hAnsi="Arial"/>
        <w:color w:val="404040"/>
        <w:sz w:val="22"/>
      </w:rPr>
      <w:tblPr/>
      <w:tcPr>
        <w:tcBorders>
          <w:top w:color="f4b184" w:space="0" w:sz="4" w:themeColor="accent2" w:themeTint="000097" w:val="single"/>
          <w:bottom w:color="f4b184" w:space="0" w:sz="4" w:themeColor="accent2" w:themeTint="000097" w:val="single"/>
        </w:tcBorders>
      </w:tcPr>
    </w:tblStylePr>
  </w:style>
  <w:style w:type="table" w:styleId="ListTable3-Accent31" w:customStyle="1">
    <w:name w:val="List Table 3 - Accent 31"/>
    <w:basedOn w:val="TableNormal"/>
    <w:uiPriority w:val="99"/>
    <w:tblPr>
      <w:tblStyleRowBandSize w:val="1"/>
      <w:tblStyleColBandSize w:val="1"/>
      <w:tblBorders>
        <w:top w:color="c9c9c9" w:space="0" w:sz="4" w:themeColor="accent3" w:themeTint="000098" w:val="single"/>
        <w:left w:color="c9c9c9" w:space="0" w:sz="4" w:themeColor="accent3" w:themeTint="000098" w:val="single"/>
        <w:bottom w:color="c9c9c9" w:space="0" w:sz="4" w:themeColor="accent3" w:themeTint="000098" w:val="single"/>
        <w:right w:color="c9c9c9" w:space="0" w:sz="4" w:themeColor="accent3" w:themeTint="000098" w:val="single"/>
      </w:tblBorders>
    </w:tblPr>
    <w:tblStylePr w:type="firstRow">
      <w:rPr>
        <w:rFonts w:ascii="Arial" w:hAnsi="Arial"/>
        <w:b w:val="1"/>
        <w:color w:val="ffffff"/>
        <w:sz w:val="22"/>
      </w:rPr>
      <w:tblPr/>
      <w:tcPr>
        <w:shd w:color="auto" w:fill="c9c9c9" w:themeFill="accent3"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c9c9c9" w:space="0" w:sz="4" w:themeColor="accent3" w:themeTint="000098" w:val="single"/>
          <w:right w:color="c9c9c9" w:space="0" w:sz="4" w:themeColor="accent3" w:themeTint="000098" w:val="single"/>
        </w:tcBorders>
      </w:tcPr>
    </w:tblStylePr>
    <w:tblStylePr w:type="band1Horz">
      <w:rPr>
        <w:rFonts w:ascii="Arial" w:hAnsi="Arial"/>
        <w:color w:val="404040"/>
        <w:sz w:val="22"/>
      </w:rPr>
      <w:tblPr/>
      <w:tcPr>
        <w:tcBorders>
          <w:top w:color="c9c9c9" w:space="0" w:sz="4" w:themeColor="accent3" w:themeTint="000098" w:val="single"/>
          <w:bottom w:color="c9c9c9" w:space="0" w:sz="4" w:themeColor="accent3" w:themeTint="000098" w:val="single"/>
        </w:tcBorders>
      </w:tcPr>
    </w:tblStylePr>
  </w:style>
  <w:style w:type="table" w:styleId="ListTable3-Accent41" w:customStyle="1">
    <w:name w:val="List Table 3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blBorders>
    </w:tblPr>
    <w:tblStylePr w:type="firstRow">
      <w:rPr>
        <w:rFonts w:ascii="Arial" w:hAnsi="Arial"/>
        <w:b w:val="1"/>
        <w:color w:val="ffffff"/>
        <w:sz w:val="22"/>
      </w:rPr>
      <w:tblPr/>
      <w:tcPr>
        <w:shd w:color="auto" w:fill="ffd865" w:themeFill="accent4"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fd865" w:space="0" w:sz="4" w:themeColor="accent4" w:themeTint="00009A" w:val="single"/>
          <w:right w:color="ffd865" w:space="0" w:sz="4" w:themeColor="accent4" w:themeTint="00009A" w:val="single"/>
        </w:tcBorders>
      </w:tcPr>
    </w:tblStylePr>
    <w:tblStylePr w:type="band1Horz">
      <w:rPr>
        <w:rFonts w:ascii="Arial" w:hAnsi="Arial"/>
        <w:color w:val="404040"/>
        <w:sz w:val="22"/>
      </w:rPr>
      <w:tblPr/>
      <w:tcPr>
        <w:tcBorders>
          <w:top w:color="ffd865" w:space="0" w:sz="4" w:themeColor="accent4" w:themeTint="00009A" w:val="single"/>
          <w:bottom w:color="ffd865" w:space="0" w:sz="4" w:themeColor="accent4" w:themeTint="00009A" w:val="single"/>
        </w:tcBorders>
      </w:tcPr>
    </w:tblStylePr>
  </w:style>
  <w:style w:type="table" w:styleId="ListTable3-Accent51" w:customStyle="1">
    <w:name w:val="List Table 3 - Accent 51"/>
    <w:basedOn w:val="TableNormal"/>
    <w:uiPriority w:val="99"/>
    <w:tblPr>
      <w:tblStyleRowBandSize w:val="1"/>
      <w:tblStyleColBandSize w:val="1"/>
      <w:tblBorders>
        <w:top w:color="8da9db" w:space="0" w:sz="4" w:themeColor="accent5" w:themeTint="00009A" w:val="single"/>
        <w:left w:color="8da9db" w:space="0" w:sz="4" w:themeColor="accent5" w:themeTint="00009A" w:val="single"/>
        <w:bottom w:color="8da9db" w:space="0" w:sz="4" w:themeColor="accent5" w:themeTint="00009A" w:val="single"/>
        <w:right w:color="8da9db" w:space="0" w:sz="4" w:themeColor="accent5" w:themeTint="00009A" w:val="single"/>
      </w:tblBorders>
    </w:tblPr>
    <w:tblStylePr w:type="firstRow">
      <w:rPr>
        <w:rFonts w:ascii="Arial" w:hAnsi="Arial"/>
        <w:b w:val="1"/>
        <w:color w:val="ffffff"/>
        <w:sz w:val="22"/>
      </w:rPr>
      <w:tblPr/>
      <w:tcPr>
        <w:shd w:color="auto" w:fill="8da9db" w:themeFill="accent5"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8da9db" w:space="0" w:sz="4" w:themeColor="accent5" w:themeTint="00009A" w:val="single"/>
          <w:right w:color="8da9db" w:space="0" w:sz="4" w:themeColor="accent5" w:themeTint="00009A" w:val="single"/>
        </w:tcBorders>
      </w:tcPr>
    </w:tblStylePr>
    <w:tblStylePr w:type="band1Horz">
      <w:rPr>
        <w:rFonts w:ascii="Arial" w:hAnsi="Arial"/>
        <w:color w:val="404040"/>
        <w:sz w:val="22"/>
      </w:rPr>
      <w:tblPr/>
      <w:tcPr>
        <w:tcBorders>
          <w:top w:color="8da9db" w:space="0" w:sz="4" w:themeColor="accent5" w:themeTint="00009A" w:val="single"/>
          <w:bottom w:color="8da9db" w:space="0" w:sz="4" w:themeColor="accent5" w:themeTint="00009A" w:val="single"/>
        </w:tcBorders>
      </w:tcPr>
    </w:tblStylePr>
  </w:style>
  <w:style w:type="table" w:styleId="ListTable3-Accent61" w:customStyle="1">
    <w:name w:val="List Table 3 - Accent 61"/>
    <w:basedOn w:val="TableNormal"/>
    <w:uiPriority w:val="99"/>
    <w:tblPr>
      <w:tblStyleRowBandSize w:val="1"/>
      <w:tblStyleColBandSize w:val="1"/>
      <w:tblBorders>
        <w:top w:color="a9d08e" w:space="0" w:sz="4" w:themeColor="accent6" w:themeTint="000098" w:val="single"/>
        <w:left w:color="a9d08e" w:space="0" w:sz="4" w:themeColor="accent6" w:themeTint="000098" w:val="single"/>
        <w:bottom w:color="a9d08e" w:space="0" w:sz="4" w:themeColor="accent6" w:themeTint="000098" w:val="single"/>
        <w:right w:color="a9d08e" w:space="0" w:sz="4" w:themeColor="accent6" w:themeTint="000098" w:val="single"/>
      </w:tblBorders>
    </w:tblPr>
    <w:tblStylePr w:type="firstRow">
      <w:rPr>
        <w:rFonts w:ascii="Arial" w:hAnsi="Arial"/>
        <w:b w:val="1"/>
        <w:color w:val="ffffff"/>
        <w:sz w:val="22"/>
      </w:rPr>
      <w:tblPr/>
      <w:tcPr>
        <w:shd w:color="auto" w:fill="a9d08e" w:themeFill="accent6"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a9d08e" w:space="0" w:sz="4" w:themeColor="accent6" w:themeTint="000098" w:val="single"/>
          <w:right w:color="a9d08e" w:space="0" w:sz="4" w:themeColor="accent6" w:themeTint="000098" w:val="single"/>
        </w:tcBorders>
      </w:tcPr>
    </w:tblStylePr>
    <w:tblStylePr w:type="band1Horz">
      <w:rPr>
        <w:rFonts w:ascii="Arial" w:hAnsi="Arial"/>
        <w:color w:val="404040"/>
        <w:sz w:val="22"/>
      </w:rPr>
      <w:tblPr/>
      <w:tcPr>
        <w:tcBorders>
          <w:top w:color="a9d08e" w:space="0" w:sz="4" w:themeColor="accent6" w:themeTint="000098" w:val="single"/>
          <w:bottom w:color="a9d08e" w:space="0" w:sz="4" w:themeColor="accent6" w:themeTint="000098" w:val="single"/>
        </w:tcBorders>
      </w:tcPr>
    </w:tblStylePr>
  </w:style>
  <w:style w:type="table" w:styleId="ListTable4">
    <w:name w:val="List Table 4"/>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4-Accent11" w:customStyle="1">
    <w:name w:val="List Table 4 - Accent 11"/>
    <w:basedOn w:val="TableNormal"/>
    <w:uiPriority w:val="9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4-Accent21" w:customStyle="1">
    <w:name w:val="List Table 4 - Accent 21"/>
    <w:basedOn w:val="TableNormal"/>
    <w:uiPriority w:val="9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tblBorders>
    </w:tblPr>
    <w:tblStylePr w:type="firstRow">
      <w:rPr>
        <w:rFonts w:ascii="Arial" w:hAnsi="Arial"/>
        <w:b w:val="1"/>
        <w:color w:val="ffffff"/>
        <w:sz w:val="22"/>
      </w:rPr>
      <w:tblPr/>
      <w:tcPr>
        <w:shd w:color="auto" w:fill="ed7d31" w:themeFill="accent2"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4-Accent31" w:customStyle="1">
    <w:name w:val="List Table 4 - Accent 31"/>
    <w:basedOn w:val="TableNormal"/>
    <w:uiPriority w:val="9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tblBorders>
    </w:tblPr>
    <w:tblStylePr w:type="firstRow">
      <w:rPr>
        <w:rFonts w:ascii="Arial" w:hAnsi="Arial"/>
        <w:b w:val="1"/>
        <w:color w:val="ffffff"/>
        <w:sz w:val="22"/>
      </w:rPr>
      <w:tblPr/>
      <w:tcPr>
        <w:shd w:color="auto" w:fill="a5a5a5" w:themeFill="accent3"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4-Accent41" w:customStyle="1">
    <w:name w:val="List Table 4 - Accent 41"/>
    <w:basedOn w:val="TableNormal"/>
    <w:uiPriority w:val="9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tblBorders>
    </w:tblPr>
    <w:tblStylePr w:type="firstRow">
      <w:rPr>
        <w:rFonts w:ascii="Arial" w:hAnsi="Arial"/>
        <w:b w:val="1"/>
        <w:color w:val="ffffff"/>
        <w:sz w:val="22"/>
      </w:rPr>
      <w:tblPr/>
      <w:tcPr>
        <w:shd w:color="auto" w:fill="ffc000" w:themeFill="accent4"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4-Accent51" w:customStyle="1">
    <w:name w:val="List Table 4 - Accent 51"/>
    <w:basedOn w:val="TableNormal"/>
    <w:uiPriority w:val="9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tblBorders>
    </w:tblPr>
    <w:tblStylePr w:type="firstRow">
      <w:rPr>
        <w:rFonts w:ascii="Arial" w:hAnsi="Arial"/>
        <w:b w:val="1"/>
        <w:color w:val="ffffff"/>
        <w:sz w:val="22"/>
      </w:rPr>
      <w:tblPr/>
      <w:tcPr>
        <w:shd w:color="auto" w:fill="4472c4" w:themeFill="accent5"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4-Accent61" w:customStyle="1">
    <w:name w:val="List Table 4 - Accent 61"/>
    <w:basedOn w:val="TableNormal"/>
    <w:uiPriority w:val="9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tblBorders>
    </w:tblPr>
    <w:tblStylePr w:type="firstRow">
      <w:rPr>
        <w:rFonts w:ascii="Arial" w:hAnsi="Arial"/>
        <w:b w:val="1"/>
        <w:color w:val="ffffff"/>
        <w:sz w:val="22"/>
      </w:rPr>
      <w:tblPr/>
      <w:tcPr>
        <w:shd w:color="auto" w:fill="70ad47" w:themeFill="accent6"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5Dark">
    <w:name w:val="List Table 5 Dark"/>
    <w:basedOn w:val="TableNormal"/>
    <w:uiPriority w:val="99"/>
    <w:tblPr>
      <w:tblStyleRowBandSize w:val="1"/>
      <w:tblStyleColBandSize w:val="1"/>
      <w:tblBorders>
        <w:top w:color="7f7f7f" w:space="0" w:sz="32" w:themeColor="text1" w:themeTint="000080" w:val="single"/>
        <w:left w:color="7f7f7f" w:space="0" w:sz="32" w:themeColor="text1" w:themeTint="000080" w:val="single"/>
        <w:bottom w:color="7f7f7f" w:space="0" w:sz="32" w:themeColor="text1" w:themeTint="000080" w:val="single"/>
        <w:right w:color="7f7f7f" w:space="0" w:sz="32" w:themeColor="text1" w:themeTint="000080" w:val="single"/>
      </w:tblBorders>
      <w:shd w:color="auto" w:fill="7f7f7f" w:themeFill="text1" w:themeFillTint="000080" w:val="clear"/>
    </w:tblPr>
    <w:tblStylePr w:type="firstRow">
      <w:rPr>
        <w:rFonts w:ascii="Arial" w:hAnsi="Arial"/>
        <w:b w:val="1"/>
        <w:color w:val="ffffff" w:themeColor="light1"/>
        <w:sz w:val="22"/>
      </w:rPr>
      <w:tblPr/>
      <w:tcPr>
        <w:tcBorders>
          <w:top w:color="7f7f7f" w:space="0" w:sz="32" w:themeColor="text1" w:themeTint="000080" w:val="single"/>
          <w:bottom w:color="ffffff" w:space="0" w:sz="12" w:themeColor="light1" w:val="single"/>
        </w:tcBorders>
        <w:shd w:color="auto" w:fill="7f7f7f" w:themeFill="text1" w:themeFillTint="000080"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7f7f7f" w:space="0" w:sz="32" w:themeColor="text1" w:themeTint="000080" w:val="single"/>
          <w:right w:color="ffffff" w:space="0" w:sz="4" w:themeColor="light1" w:val="single"/>
        </w:tcBorders>
      </w:tcPr>
    </w:tblStylePr>
    <w:tblStylePr w:type="lastCol">
      <w:tblPr/>
      <w:tcPr>
        <w:tcBorders>
          <w:left w:color="ffffff" w:space="0" w:sz="4" w:themeColor="light1" w:val="single"/>
          <w:right w:color="7f7f7f" w:space="0" w:sz="32" w:themeColor="text1" w:themeTint="000080" w:val="single"/>
        </w:tcBorders>
      </w:tcPr>
    </w:tblStylePr>
    <w:tblStylePr w:type="band1Vert">
      <w:tblPr/>
      <w:tcPr>
        <w:tcBorders>
          <w:left w:color="ffffff" w:space="0" w:sz="4" w:themeColor="light1" w:val="single"/>
          <w:right w:color="ffffff" w:space="0" w:sz="4" w:themeColor="light1" w:val="single"/>
        </w:tcBorders>
        <w:shd w:color="auto" w:fill="7f7f7f" w:themeFill="text1" w:themeFillTint="000080"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7f7f7f" w:themeFill="text1" w:themeFillTint="000080" w:val="clear"/>
      </w:tcPr>
    </w:tblStylePr>
    <w:tblStylePr w:type="band2Horz">
      <w:tblPr/>
      <w:tcPr>
        <w:tcBorders>
          <w:top w:color="ffffff" w:space="0" w:sz="4" w:themeColor="light1" w:val="single"/>
          <w:bottom w:color="ffffff" w:space="0" w:sz="4" w:themeColor="light1" w:val="single"/>
        </w:tcBorders>
        <w:shd w:color="auto" w:fill="7f7f7f" w:themeFill="text1" w:themeFillTint="000080" w:val="clear"/>
      </w:tcPr>
    </w:tblStylePr>
  </w:style>
  <w:style w:type="table" w:styleId="ListTable5Dark-Accent11" w:customStyle="1">
    <w:name w:val="List Table 5 Dark - Accent 11"/>
    <w:basedOn w:val="TableNormal"/>
    <w:uiPriority w:val="99"/>
    <w:tblPr>
      <w:tblStyleRowBandSize w:val="1"/>
      <w:tblStyleColBandSize w:val="1"/>
      <w:tblBorders>
        <w:top w:color="5b9bd5" w:space="0" w:sz="32" w:themeColor="accent1" w:val="single"/>
        <w:left w:color="5b9bd5" w:space="0" w:sz="32" w:themeColor="accent1" w:val="single"/>
        <w:bottom w:color="5b9bd5" w:space="0" w:sz="32" w:themeColor="accent1" w:val="single"/>
        <w:right w:color="5b9bd5" w:space="0" w:sz="32" w:themeColor="accent1" w:val="single"/>
      </w:tblBorders>
      <w:shd w:color="auto" w:fill="5b9bd5" w:themeFill="accent1" w:val="clear"/>
    </w:tblPr>
    <w:tblStylePr w:type="firstRow">
      <w:rPr>
        <w:rFonts w:ascii="Arial" w:hAnsi="Arial"/>
        <w:b w:val="1"/>
        <w:color w:val="ffffff" w:themeColor="light1"/>
        <w:sz w:val="22"/>
      </w:rPr>
      <w:tblPr/>
      <w:tcPr>
        <w:tcBorders>
          <w:top w:color="5b9bd5" w:space="0" w:sz="32" w:themeColor="accent1" w:val="single"/>
          <w:bottom w:color="ffffff" w:space="0" w:sz="12" w:themeColor="light1" w:val="single"/>
        </w:tcBorders>
        <w:shd w:color="auto" w:fill="5b9bd5" w:themeFill="accent1"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5b9bd5" w:space="0" w:sz="32" w:themeColor="accent1" w:val="single"/>
          <w:right w:color="ffffff" w:space="0" w:sz="4" w:themeColor="light1" w:val="single"/>
        </w:tcBorders>
      </w:tcPr>
    </w:tblStylePr>
    <w:tblStylePr w:type="lastCol">
      <w:tblPr/>
      <w:tcPr>
        <w:tcBorders>
          <w:left w:color="ffffff" w:space="0" w:sz="4" w:themeColor="light1" w:val="single"/>
          <w:right w:color="5b9bd5" w:space="0" w:sz="32" w:themeColor="accent1" w:val="single"/>
        </w:tcBorders>
      </w:tcPr>
    </w:tblStylePr>
    <w:tblStylePr w:type="band1Vert">
      <w:tblPr/>
      <w:tcPr>
        <w:tcBorders>
          <w:left w:color="ffffff" w:space="0" w:sz="4" w:themeColor="light1" w:val="single"/>
          <w:right w:color="ffffff" w:space="0" w:sz="4" w:themeColor="light1" w:val="single"/>
        </w:tcBorders>
        <w:shd w:color="auto" w:fill="5b9bd5" w:themeFill="accent1"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5b9bd5" w:themeFill="accent1" w:val="clear"/>
      </w:tcPr>
    </w:tblStylePr>
    <w:tblStylePr w:type="band2Horz">
      <w:tblPr/>
      <w:tcPr>
        <w:tcBorders>
          <w:top w:color="ffffff" w:space="0" w:sz="4" w:themeColor="light1" w:val="single"/>
          <w:bottom w:color="ffffff" w:space="0" w:sz="4" w:themeColor="light1" w:val="single"/>
        </w:tcBorders>
        <w:shd w:color="auto" w:fill="5b9bd5" w:themeFill="accent1" w:val="clear"/>
      </w:tcPr>
    </w:tblStylePr>
  </w:style>
  <w:style w:type="table" w:styleId="ListTable5Dark-Accent21" w:customStyle="1">
    <w:name w:val="List Table 5 Dark - Accent 21"/>
    <w:basedOn w:val="TableNormal"/>
    <w:uiPriority w:val="99"/>
    <w:tblPr>
      <w:tblStyleRowBandSize w:val="1"/>
      <w:tblStyleColBandSize w:val="1"/>
      <w:tblBorders>
        <w:top w:color="f4b184" w:space="0" w:sz="32" w:themeColor="accent2" w:themeTint="000097" w:val="single"/>
        <w:left w:color="f4b184" w:space="0" w:sz="32" w:themeColor="accent2" w:themeTint="000097" w:val="single"/>
        <w:bottom w:color="f4b184" w:space="0" w:sz="32" w:themeColor="accent2" w:themeTint="000097" w:val="single"/>
        <w:right w:color="f4b184" w:space="0" w:sz="32" w:themeColor="accent2" w:themeTint="000097" w:val="single"/>
      </w:tblBorders>
      <w:shd w:color="auto" w:fill="f4b184" w:themeFill="accent2" w:themeFillTint="000097" w:val="clear"/>
    </w:tblPr>
    <w:tblStylePr w:type="firstRow">
      <w:rPr>
        <w:rFonts w:ascii="Arial" w:hAnsi="Arial"/>
        <w:b w:val="1"/>
        <w:color w:val="ffffff" w:themeColor="light1"/>
        <w:sz w:val="22"/>
      </w:rPr>
      <w:tblPr/>
      <w:tcPr>
        <w:tcBorders>
          <w:top w:color="f4b184" w:space="0" w:sz="32" w:themeColor="accent2" w:themeTint="000097" w:val="single"/>
          <w:bottom w:color="ffffff" w:space="0" w:sz="12" w:themeColor="light1" w:val="single"/>
        </w:tcBorders>
        <w:shd w:color="auto" w:fill="f4b184" w:themeFill="accent2" w:themeFillTint="000097"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4b184" w:space="0" w:sz="32" w:themeColor="accent2" w:themeTint="000097" w:val="single"/>
          <w:right w:color="ffffff" w:space="0" w:sz="4" w:themeColor="light1" w:val="single"/>
        </w:tcBorders>
      </w:tcPr>
    </w:tblStylePr>
    <w:tblStylePr w:type="lastCol">
      <w:tblPr/>
      <w:tcPr>
        <w:tcBorders>
          <w:left w:color="ffffff" w:space="0" w:sz="4" w:themeColor="light1" w:val="single"/>
          <w:right w:color="f4b184" w:space="0" w:sz="32" w:themeColor="accent2" w:themeTint="000097" w:val="single"/>
        </w:tcBorders>
      </w:tcPr>
    </w:tblStylePr>
    <w:tblStylePr w:type="band1Vert">
      <w:tblPr/>
      <w:tcPr>
        <w:tcBorders>
          <w:left w:color="ffffff" w:space="0" w:sz="4" w:themeColor="light1" w:val="single"/>
          <w:right w:color="ffffff" w:space="0" w:sz="4" w:themeColor="light1" w:val="single"/>
        </w:tcBorders>
        <w:shd w:color="auto" w:fill="f4b184" w:themeFill="accent2" w:themeFillTint="000097"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4b184" w:themeFill="accent2" w:themeFillTint="000097" w:val="clear"/>
      </w:tcPr>
    </w:tblStylePr>
    <w:tblStylePr w:type="band2Horz">
      <w:tblPr/>
      <w:tcPr>
        <w:tcBorders>
          <w:top w:color="ffffff" w:space="0" w:sz="4" w:themeColor="light1" w:val="single"/>
          <w:bottom w:color="ffffff" w:space="0" w:sz="4" w:themeColor="light1" w:val="single"/>
        </w:tcBorders>
        <w:shd w:color="auto" w:fill="f4b184" w:themeFill="accent2" w:themeFillTint="000097" w:val="clear"/>
      </w:tcPr>
    </w:tblStylePr>
  </w:style>
  <w:style w:type="table" w:styleId="ListTable5Dark-Accent31" w:customStyle="1">
    <w:name w:val="List Table 5 Dark - Accent 31"/>
    <w:basedOn w:val="TableNormal"/>
    <w:uiPriority w:val="99"/>
    <w:tblPr>
      <w:tblStyleRowBandSize w:val="1"/>
      <w:tblStyleColBandSize w:val="1"/>
      <w:tblBorders>
        <w:top w:color="c9c9c9" w:space="0" w:sz="32" w:themeColor="accent3" w:themeTint="000098" w:val="single"/>
        <w:left w:color="c9c9c9" w:space="0" w:sz="32" w:themeColor="accent3" w:themeTint="000098" w:val="single"/>
        <w:bottom w:color="c9c9c9" w:space="0" w:sz="32" w:themeColor="accent3" w:themeTint="000098" w:val="single"/>
        <w:right w:color="c9c9c9" w:space="0" w:sz="32" w:themeColor="accent3" w:themeTint="000098" w:val="single"/>
      </w:tblBorders>
      <w:shd w:color="auto" w:fill="c9c9c9" w:themeFill="accent3" w:themeFillTint="000098" w:val="clear"/>
    </w:tblPr>
    <w:tblStylePr w:type="firstRow">
      <w:rPr>
        <w:rFonts w:ascii="Arial" w:hAnsi="Arial"/>
        <w:b w:val="1"/>
        <w:color w:val="ffffff" w:themeColor="light1"/>
        <w:sz w:val="22"/>
      </w:rPr>
      <w:tblPr/>
      <w:tcPr>
        <w:tcBorders>
          <w:top w:color="c9c9c9" w:space="0" w:sz="32" w:themeColor="accent3" w:themeTint="000098" w:val="single"/>
          <w:bottom w:color="ffffff" w:space="0" w:sz="12" w:themeColor="light1" w:val="single"/>
        </w:tcBorders>
        <w:shd w:color="auto" w:fill="c9c9c9" w:themeFill="accent3"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c9c9c9" w:space="0" w:sz="32" w:themeColor="accent3" w:themeTint="000098" w:val="single"/>
          <w:right w:color="ffffff" w:space="0" w:sz="4" w:themeColor="light1" w:val="single"/>
        </w:tcBorders>
      </w:tcPr>
    </w:tblStylePr>
    <w:tblStylePr w:type="lastCol">
      <w:tblPr/>
      <w:tcPr>
        <w:tcBorders>
          <w:left w:color="ffffff" w:space="0" w:sz="4" w:themeColor="light1" w:val="single"/>
          <w:right w:color="c9c9c9" w:space="0" w:sz="32" w:themeColor="accent3" w:themeTint="000098" w:val="single"/>
        </w:tcBorders>
      </w:tcPr>
    </w:tblStylePr>
    <w:tblStylePr w:type="band1Vert">
      <w:tblPr/>
      <w:tcPr>
        <w:tcBorders>
          <w:left w:color="ffffff" w:space="0" w:sz="4" w:themeColor="light1" w:val="single"/>
          <w:right w:color="ffffff" w:space="0" w:sz="4" w:themeColor="light1" w:val="single"/>
        </w:tcBorders>
        <w:shd w:color="auto" w:fill="c9c9c9" w:themeFill="accent3"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c9c9c9" w:themeFill="accent3" w:themeFillTint="000098" w:val="clear"/>
      </w:tcPr>
    </w:tblStylePr>
    <w:tblStylePr w:type="band2Horz">
      <w:tblPr/>
      <w:tcPr>
        <w:tcBorders>
          <w:top w:color="ffffff" w:space="0" w:sz="4" w:themeColor="light1" w:val="single"/>
          <w:bottom w:color="ffffff" w:space="0" w:sz="4" w:themeColor="light1" w:val="single"/>
        </w:tcBorders>
        <w:shd w:color="auto" w:fill="c9c9c9" w:themeFill="accent3" w:themeFillTint="000098" w:val="clear"/>
      </w:tcPr>
    </w:tblStylePr>
  </w:style>
  <w:style w:type="table" w:styleId="ListTable5Dark-Accent41" w:customStyle="1">
    <w:name w:val="List Table 5 Dark - Accent 41"/>
    <w:basedOn w:val="TableNormal"/>
    <w:uiPriority w:val="99"/>
    <w:tblPr>
      <w:tblStyleRowBandSize w:val="1"/>
      <w:tblStyleColBandSize w:val="1"/>
      <w:tblBorders>
        <w:top w:color="ffd865" w:space="0" w:sz="32" w:themeColor="accent4" w:themeTint="00009A" w:val="single"/>
        <w:left w:color="ffd865" w:space="0" w:sz="32" w:themeColor="accent4" w:themeTint="00009A" w:val="single"/>
        <w:bottom w:color="ffd865" w:space="0" w:sz="32" w:themeColor="accent4" w:themeTint="00009A" w:val="single"/>
        <w:right w:color="ffd865" w:space="0" w:sz="32" w:themeColor="accent4" w:themeTint="00009A" w:val="single"/>
      </w:tblBorders>
      <w:shd w:color="auto" w:fill="ffd865" w:themeFill="accent4" w:themeFillTint="00009A" w:val="clear"/>
    </w:tblPr>
    <w:tblStylePr w:type="firstRow">
      <w:rPr>
        <w:rFonts w:ascii="Arial" w:hAnsi="Arial"/>
        <w:b w:val="1"/>
        <w:color w:val="ffffff" w:themeColor="light1"/>
        <w:sz w:val="22"/>
      </w:rPr>
      <w:tblPr/>
      <w:tcPr>
        <w:tcBorders>
          <w:top w:color="ffd865" w:space="0" w:sz="32" w:themeColor="accent4" w:themeTint="00009A" w:val="single"/>
          <w:bottom w:color="ffffff" w:space="0" w:sz="12" w:themeColor="light1" w:val="single"/>
        </w:tcBorders>
        <w:shd w:color="auto" w:fill="ffd865" w:themeFill="accent4"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fd865" w:space="0" w:sz="32" w:themeColor="accent4" w:themeTint="00009A" w:val="single"/>
          <w:right w:color="ffffff" w:space="0" w:sz="4" w:themeColor="light1" w:val="single"/>
        </w:tcBorders>
      </w:tcPr>
    </w:tblStylePr>
    <w:tblStylePr w:type="lastCol">
      <w:tblPr/>
      <w:tcPr>
        <w:tcBorders>
          <w:left w:color="ffffff" w:space="0" w:sz="4" w:themeColor="light1" w:val="single"/>
          <w:right w:color="ffd865" w:space="0" w:sz="32" w:themeColor="accent4" w:themeTint="00009A" w:val="single"/>
        </w:tcBorders>
      </w:tcPr>
    </w:tblStylePr>
    <w:tblStylePr w:type="band1Vert">
      <w:tblPr/>
      <w:tcPr>
        <w:tcBorders>
          <w:left w:color="ffffff" w:space="0" w:sz="4" w:themeColor="light1" w:val="single"/>
          <w:right w:color="ffffff" w:space="0" w:sz="4" w:themeColor="light1" w:val="single"/>
        </w:tcBorders>
        <w:shd w:color="auto" w:fill="ffd865" w:themeFill="accent4"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fd865" w:themeFill="accent4" w:themeFillTint="00009A" w:val="clear"/>
      </w:tcPr>
    </w:tblStylePr>
    <w:tblStylePr w:type="band2Horz">
      <w:tblPr/>
      <w:tcPr>
        <w:tcBorders>
          <w:top w:color="ffffff" w:space="0" w:sz="4" w:themeColor="light1" w:val="single"/>
          <w:bottom w:color="ffffff" w:space="0" w:sz="4" w:themeColor="light1" w:val="single"/>
        </w:tcBorders>
        <w:shd w:color="auto" w:fill="ffd865" w:themeFill="accent4" w:themeFillTint="00009A" w:val="clear"/>
      </w:tcPr>
    </w:tblStylePr>
  </w:style>
  <w:style w:type="table" w:styleId="ListTable5Dark-Accent51" w:customStyle="1">
    <w:name w:val="List Table 5 Dark - Accent 51"/>
    <w:basedOn w:val="TableNormal"/>
    <w:uiPriority w:val="99"/>
    <w:tblPr>
      <w:tblStyleRowBandSize w:val="1"/>
      <w:tblStyleColBandSize w:val="1"/>
      <w:tblBorders>
        <w:top w:color="8da9db" w:space="0" w:sz="32" w:themeColor="accent5" w:themeTint="00009A" w:val="single"/>
        <w:left w:color="8da9db" w:space="0" w:sz="32" w:themeColor="accent5" w:themeTint="00009A" w:val="single"/>
        <w:bottom w:color="8da9db" w:space="0" w:sz="32" w:themeColor="accent5" w:themeTint="00009A" w:val="single"/>
        <w:right w:color="8da9db" w:space="0" w:sz="32" w:themeColor="accent5" w:themeTint="00009A" w:val="single"/>
      </w:tblBorders>
      <w:shd w:color="auto" w:fill="8da9db" w:themeFill="accent5" w:themeFillTint="00009A" w:val="clear"/>
    </w:tblPr>
    <w:tblStylePr w:type="firstRow">
      <w:rPr>
        <w:rFonts w:ascii="Arial" w:hAnsi="Arial"/>
        <w:b w:val="1"/>
        <w:color w:val="ffffff" w:themeColor="light1"/>
        <w:sz w:val="22"/>
      </w:rPr>
      <w:tblPr/>
      <w:tcPr>
        <w:tcBorders>
          <w:top w:color="8da9db" w:space="0" w:sz="32" w:themeColor="accent5" w:themeTint="00009A" w:val="single"/>
          <w:bottom w:color="ffffff" w:space="0" w:sz="12" w:themeColor="light1" w:val="single"/>
        </w:tcBorders>
        <w:shd w:color="auto" w:fill="8da9db" w:themeFill="accent5"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8da9db" w:space="0" w:sz="32" w:themeColor="accent5" w:themeTint="00009A" w:val="single"/>
          <w:right w:color="ffffff" w:space="0" w:sz="4" w:themeColor="light1" w:val="single"/>
        </w:tcBorders>
      </w:tcPr>
    </w:tblStylePr>
    <w:tblStylePr w:type="lastCol">
      <w:tblPr/>
      <w:tcPr>
        <w:tcBorders>
          <w:left w:color="ffffff" w:space="0" w:sz="4" w:themeColor="light1" w:val="single"/>
          <w:right w:color="8da9db" w:space="0" w:sz="32" w:themeColor="accent5" w:themeTint="00009A" w:val="single"/>
        </w:tcBorders>
      </w:tcPr>
    </w:tblStylePr>
    <w:tblStylePr w:type="band1Vert">
      <w:tblPr/>
      <w:tcPr>
        <w:tcBorders>
          <w:left w:color="ffffff" w:space="0" w:sz="4" w:themeColor="light1" w:val="single"/>
          <w:right w:color="ffffff" w:space="0" w:sz="4" w:themeColor="light1" w:val="single"/>
        </w:tcBorders>
        <w:shd w:color="auto" w:fill="8da9db" w:themeFill="accent5"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8da9db" w:themeFill="accent5" w:themeFillTint="00009A" w:val="clear"/>
      </w:tcPr>
    </w:tblStylePr>
    <w:tblStylePr w:type="band2Horz">
      <w:tblPr/>
      <w:tcPr>
        <w:tcBorders>
          <w:top w:color="ffffff" w:space="0" w:sz="4" w:themeColor="light1" w:val="single"/>
          <w:bottom w:color="ffffff" w:space="0" w:sz="4" w:themeColor="light1" w:val="single"/>
        </w:tcBorders>
        <w:shd w:color="auto" w:fill="8da9db" w:themeFill="accent5" w:themeFillTint="00009A" w:val="clear"/>
      </w:tcPr>
    </w:tblStylePr>
  </w:style>
  <w:style w:type="table" w:styleId="ListTable5Dark-Accent61" w:customStyle="1">
    <w:name w:val="List Table 5 Dark - Accent 61"/>
    <w:basedOn w:val="TableNormal"/>
    <w:uiPriority w:val="99"/>
    <w:tblPr>
      <w:tblStyleRowBandSize w:val="1"/>
      <w:tblStyleColBandSize w:val="1"/>
      <w:tblBorders>
        <w:top w:color="a9d08e" w:space="0" w:sz="32" w:themeColor="accent6" w:themeTint="000098" w:val="single"/>
        <w:left w:color="a9d08e" w:space="0" w:sz="32" w:themeColor="accent6" w:themeTint="000098" w:val="single"/>
        <w:bottom w:color="a9d08e" w:space="0" w:sz="32" w:themeColor="accent6" w:themeTint="000098" w:val="single"/>
        <w:right w:color="a9d08e" w:space="0" w:sz="32" w:themeColor="accent6" w:themeTint="000098" w:val="single"/>
      </w:tblBorders>
      <w:shd w:color="auto" w:fill="a9d08e" w:themeFill="accent6" w:themeFillTint="000098" w:val="clear"/>
    </w:tblPr>
    <w:tblStylePr w:type="firstRow">
      <w:rPr>
        <w:rFonts w:ascii="Arial" w:hAnsi="Arial"/>
        <w:b w:val="1"/>
        <w:color w:val="ffffff" w:themeColor="light1"/>
        <w:sz w:val="22"/>
      </w:rPr>
      <w:tblPr/>
      <w:tcPr>
        <w:tcBorders>
          <w:top w:color="a9d08e" w:space="0" w:sz="32" w:themeColor="accent6" w:themeTint="000098" w:val="single"/>
          <w:bottom w:color="ffffff" w:space="0" w:sz="12" w:themeColor="light1" w:val="single"/>
        </w:tcBorders>
        <w:shd w:color="auto" w:fill="a9d08e" w:themeFill="accent6"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a9d08e" w:space="0" w:sz="32" w:themeColor="accent6" w:themeTint="000098" w:val="single"/>
          <w:right w:color="ffffff" w:space="0" w:sz="4" w:themeColor="light1" w:val="single"/>
        </w:tcBorders>
      </w:tcPr>
    </w:tblStylePr>
    <w:tblStylePr w:type="lastCol">
      <w:tblPr/>
      <w:tcPr>
        <w:tcBorders>
          <w:left w:color="ffffff" w:space="0" w:sz="4" w:themeColor="light1" w:val="single"/>
          <w:right w:color="a9d08e" w:space="0" w:sz="32" w:themeColor="accent6" w:themeTint="000098" w:val="single"/>
        </w:tcBorders>
      </w:tcPr>
    </w:tblStylePr>
    <w:tblStylePr w:type="band1Vert">
      <w:tblPr/>
      <w:tcPr>
        <w:tcBorders>
          <w:left w:color="ffffff" w:space="0" w:sz="4" w:themeColor="light1" w:val="single"/>
          <w:right w:color="ffffff" w:space="0" w:sz="4" w:themeColor="light1" w:val="single"/>
        </w:tcBorders>
        <w:shd w:color="auto" w:fill="a9d08e" w:themeFill="accent6"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a9d08e" w:themeFill="accent6" w:themeFillTint="000098" w:val="clear"/>
      </w:tcPr>
    </w:tblStylePr>
    <w:tblStylePr w:type="band2Horz">
      <w:tblPr/>
      <w:tcPr>
        <w:tcBorders>
          <w:top w:color="ffffff" w:space="0" w:sz="4" w:themeColor="light1" w:val="single"/>
          <w:bottom w:color="ffffff" w:space="0" w:sz="4" w:themeColor="light1" w:val="single"/>
        </w:tcBorders>
        <w:shd w:color="auto" w:fill="a9d08e" w:themeFill="accent6" w:themeFillTint="000098" w:val="clear"/>
      </w:tcPr>
    </w:tblStylePr>
  </w:style>
  <w:style w:type="table" w:styleId="ListTable6Colorful">
    <w:name w:val="List Table 6 Colorful"/>
    <w:basedOn w:val="TableNormal"/>
    <w:uiPriority w:val="99"/>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color w:val="000000" w:themeColor="text1"/>
      </w:rPr>
      <w:tblPr/>
      <w:tcPr>
        <w:tcBorders>
          <w:bottom w:color="7f7f7f" w:space="0" w:sz="4" w:themeColor="text1" w:themeTint="000080" w:val="single"/>
        </w:tcBorders>
      </w:tcPr>
    </w:tblStylePr>
    <w:tblStylePr w:type="lastRow">
      <w:rPr>
        <w:b w:val="1"/>
        <w:color w:val="000000" w:themeColor="text1"/>
      </w:rPr>
      <w:tblPr/>
      <w:tcPr>
        <w:tcBorders>
          <w:top w:color="7f7f7f" w:space="0" w:sz="4" w:themeColor="text1" w:themeTint="000080" w:val="single"/>
        </w:tcBorders>
      </w:tcPr>
    </w:tblStylePr>
    <w:tblStylePr w:type="firstCol">
      <w:rPr>
        <w:b w:val="1"/>
        <w:color w:val="000000" w:themeColor="text1"/>
      </w:rPr>
    </w:tblStylePr>
    <w:tblStylePr w:type="lastCol">
      <w:rPr>
        <w:b w:val="1"/>
        <w:color w:val="000000" w:themeColor="text1"/>
      </w:rPr>
    </w:tblStylePr>
    <w:tblStylePr w:type="band1Vert">
      <w:tblPr/>
      <w:tcPr>
        <w:shd w:color="auto" w:fill="bfbfbf" w:themeFill="text1" w:themeFillTint="000040" w:val="clear"/>
      </w:tcPr>
    </w:tblStylePr>
    <w:tblStylePr w:type="band1Horz">
      <w:rPr>
        <w:rFonts w:ascii="Arial" w:hAnsi="Arial"/>
        <w:color w:val="000000" w:themeColor="text1"/>
        <w:sz w:val="22"/>
      </w:rPr>
      <w:tblPr/>
      <w:tcPr>
        <w:shd w:color="auto" w:fill="bfbfbf" w:themeFill="text1" w:themeFillTint="000040" w:val="clear"/>
      </w:tcPr>
    </w:tblStylePr>
    <w:tblStylePr w:type="band2Horz">
      <w:rPr>
        <w:rFonts w:ascii="Arial" w:hAnsi="Arial"/>
        <w:color w:val="000000" w:themeColor="text1"/>
        <w:sz w:val="22"/>
      </w:rPr>
    </w:tblStylePr>
  </w:style>
  <w:style w:type="table" w:styleId="ListTable6Colorful-Accent11" w:customStyle="1">
    <w:name w:val="List Table 6 Colorful - Accent 11"/>
    <w:basedOn w:val="TableNormal"/>
    <w:uiPriority w:val="99"/>
    <w:tblPr>
      <w:tblStyleRowBandSize w:val="1"/>
      <w:tblStyleColBandSize w:val="1"/>
      <w:tblBorders>
        <w:top w:color="5b9bd5" w:space="0" w:sz="4" w:themeColor="accent1" w:val="single"/>
        <w:bottom w:color="5b9bd5" w:space="0" w:sz="4" w:themeColor="accent1" w:val="single"/>
      </w:tblBorders>
    </w:tblPr>
    <w:tblStylePr w:type="firstRow">
      <w:rPr>
        <w:b w:val="1"/>
        <w:color w:val="245a8d" w:themeColor="accent1" w:themeShade="000095"/>
      </w:rPr>
      <w:tblPr/>
      <w:tcPr>
        <w:tcBorders>
          <w:bottom w:color="5b9bd5" w:space="0" w:sz="4" w:themeColor="accent1" w:val="single"/>
        </w:tcBorders>
      </w:tcPr>
    </w:tblStylePr>
    <w:tblStylePr w:type="lastRow">
      <w:rPr>
        <w:b w:val="1"/>
        <w:color w:val="245a8d" w:themeColor="accent1" w:themeShade="000095"/>
      </w:rPr>
      <w:tblPr/>
      <w:tcPr>
        <w:tcBorders>
          <w:top w:color="5b9bd5" w:space="0" w:sz="4" w:themeColor="accent1" w:val="single"/>
        </w:tcBorders>
      </w:tcPr>
    </w:tblStylePr>
    <w:tblStylePr w:type="firstCol">
      <w:rPr>
        <w:b w:val="1"/>
        <w:color w:val="245a8d" w:themeColor="accent1" w:themeShade="000095"/>
      </w:rPr>
    </w:tblStylePr>
    <w:tblStylePr w:type="lastCol">
      <w:rPr>
        <w:b w:val="1"/>
        <w:color w:val="245a8d" w:themeColor="accent1" w:themeShade="000095"/>
      </w:r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6Colorful-Accent21" w:customStyle="1">
    <w:name w:val="List Table 6 Colorful - Accent 21"/>
    <w:basedOn w:val="TableNormal"/>
    <w:uiPriority w:val="99"/>
    <w:tblPr>
      <w:tblStyleRowBandSize w:val="1"/>
      <w:tblStyleColBandSize w:val="1"/>
      <w:tblBorders>
        <w:top w:color="f4b184" w:space="0" w:sz="4" w:themeColor="accent2" w:themeTint="000097" w:val="single"/>
        <w:bottom w:color="f4b184" w:space="0" w:sz="4" w:themeColor="accent2" w:themeTint="000097" w:val="single"/>
      </w:tblBorders>
    </w:tblPr>
    <w:tblStylePr w:type="firstRow">
      <w:rPr>
        <w:b w:val="1"/>
        <w:color w:val="f4b184" w:themeColor="accent2" w:themeShade="000095" w:themeTint="000097"/>
      </w:rPr>
      <w:tblPr/>
      <w:tcPr>
        <w:tcBorders>
          <w:bottom w:color="f4b184" w:space="0" w:sz="4" w:themeColor="accent2" w:themeTint="000097" w:val="single"/>
        </w:tcBorders>
      </w:tcPr>
    </w:tblStylePr>
    <w:tblStylePr w:type="lastRow">
      <w:rPr>
        <w:b w:val="1"/>
        <w:color w:val="f4b184" w:themeColor="accent2" w:themeShade="000095" w:themeTint="000097"/>
      </w:rPr>
      <w:tblPr/>
      <w:tcPr>
        <w:tcBorders>
          <w:top w:color="f4b184" w:space="0" w:sz="4" w:themeColor="accent2" w:themeTint="000097" w:val="single"/>
        </w:tcBorders>
      </w:tc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6Colorful-Accent31" w:customStyle="1">
    <w:name w:val="List Table 6 Colorful - Accent 31"/>
    <w:basedOn w:val="TableNormal"/>
    <w:uiPriority w:val="99"/>
    <w:tblPr>
      <w:tblStyleRowBandSize w:val="1"/>
      <w:tblStyleColBandSize w:val="1"/>
      <w:tblBorders>
        <w:top w:color="c9c9c9" w:space="0" w:sz="4" w:themeColor="accent3" w:themeTint="000098" w:val="single"/>
        <w:bottom w:color="c9c9c9" w:space="0" w:sz="4" w:themeColor="accent3" w:themeTint="000098" w:val="single"/>
      </w:tblBorders>
    </w:tblPr>
    <w:tblStylePr w:type="firstRow">
      <w:rPr>
        <w:b w:val="1"/>
        <w:color w:val="c9c9c9" w:themeColor="accent3" w:themeShade="000095" w:themeTint="000098"/>
      </w:rPr>
      <w:tblPr/>
      <w:tcPr>
        <w:tcBorders>
          <w:bottom w:color="c9c9c9" w:space="0" w:sz="4" w:themeColor="accent3" w:themeTint="000098" w:val="single"/>
        </w:tcBorders>
      </w:tcPr>
    </w:tblStylePr>
    <w:tblStylePr w:type="lastRow">
      <w:rPr>
        <w:b w:val="1"/>
        <w:color w:val="c9c9c9" w:themeColor="accent3" w:themeShade="000095" w:themeTint="000098"/>
      </w:rPr>
      <w:tblPr/>
      <w:tcPr>
        <w:tcBorders>
          <w:top w:color="c9c9c9" w:space="0" w:sz="4" w:themeColor="accent3" w:themeTint="000098" w:val="single"/>
        </w:tcBorders>
      </w:tcPr>
    </w:tblStylePr>
    <w:tblStylePr w:type="firstCol">
      <w:rPr>
        <w:b w:val="1"/>
        <w:color w:val="c9c9c9" w:themeColor="accent3" w:themeShade="000095" w:themeTint="000098"/>
      </w:rPr>
    </w:tblStylePr>
    <w:tblStylePr w:type="lastCol">
      <w:rPr>
        <w:b w:val="1"/>
        <w:color w:val="c9c9c9" w:themeColor="accent3" w:themeShade="000095" w:themeTint="000098"/>
      </w:r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6Colorful-Accent41" w:customStyle="1">
    <w:name w:val="List Table 6 Colorful - Accent 41"/>
    <w:basedOn w:val="TableNormal"/>
    <w:uiPriority w:val="99"/>
    <w:tblPr>
      <w:tblStyleRowBandSize w:val="1"/>
      <w:tblStyleColBandSize w:val="1"/>
      <w:tblBorders>
        <w:top w:color="ffd865" w:space="0" w:sz="4" w:themeColor="accent4" w:themeTint="00009A" w:val="single"/>
        <w:bottom w:color="ffd865" w:space="0" w:sz="4" w:themeColor="accent4" w:themeTint="00009A" w:val="single"/>
      </w:tblBorders>
    </w:tblPr>
    <w:tblStylePr w:type="firstRow">
      <w:rPr>
        <w:b w:val="1"/>
        <w:color w:val="ffd865" w:themeColor="accent4" w:themeShade="000095" w:themeTint="00009A"/>
      </w:rPr>
      <w:tblPr/>
      <w:tcPr>
        <w:tcBorders>
          <w:bottom w:color="ffd865" w:space="0" w:sz="4" w:themeColor="accent4" w:themeTint="00009A" w:val="single"/>
        </w:tcBorders>
      </w:tcPr>
    </w:tblStylePr>
    <w:tblStylePr w:type="lastRow">
      <w:rPr>
        <w:b w:val="1"/>
        <w:color w:val="ffd865" w:themeColor="accent4" w:themeShade="000095" w:themeTint="00009A"/>
      </w:rPr>
      <w:tblPr/>
      <w:tcPr>
        <w:tcBorders>
          <w:top w:color="ffd865" w:space="0" w:sz="4" w:themeColor="accent4" w:themeTint="00009A" w:val="single"/>
        </w:tcBorders>
      </w:tc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6Colorful-Accent51" w:customStyle="1">
    <w:name w:val="List Table 6 Colorful - Accent 51"/>
    <w:basedOn w:val="TableNormal"/>
    <w:uiPriority w:val="99"/>
    <w:tblPr>
      <w:tblStyleRowBandSize w:val="1"/>
      <w:tblStyleColBandSize w:val="1"/>
      <w:tblBorders>
        <w:top w:color="8da9db" w:space="0" w:sz="4" w:themeColor="accent5" w:themeTint="00009A" w:val="single"/>
        <w:bottom w:color="8da9db" w:space="0" w:sz="4" w:themeColor="accent5" w:themeTint="00009A" w:val="single"/>
      </w:tblBorders>
    </w:tblPr>
    <w:tblStylePr w:type="firstRow">
      <w:rPr>
        <w:b w:val="1"/>
        <w:color w:val="8da9db" w:themeColor="accent5" w:themeShade="000095" w:themeTint="00009A"/>
      </w:rPr>
      <w:tblPr/>
      <w:tcPr>
        <w:tcBorders>
          <w:bottom w:color="8da9db" w:space="0" w:sz="4" w:themeColor="accent5" w:themeTint="00009A" w:val="single"/>
        </w:tcBorders>
      </w:tcPr>
    </w:tblStylePr>
    <w:tblStylePr w:type="lastRow">
      <w:rPr>
        <w:b w:val="1"/>
        <w:color w:val="8da9db" w:themeColor="accent5" w:themeShade="000095" w:themeTint="00009A"/>
      </w:rPr>
      <w:tblPr/>
      <w:tcPr>
        <w:tcBorders>
          <w:top w:color="8da9db" w:space="0" w:sz="4" w:themeColor="accent5" w:themeTint="00009A" w:val="single"/>
        </w:tcBorders>
      </w:tcPr>
    </w:tblStylePr>
    <w:tblStylePr w:type="firstCol">
      <w:rPr>
        <w:b w:val="1"/>
        <w:color w:val="8da9db" w:themeColor="accent5" w:themeShade="000095" w:themeTint="00009A"/>
      </w:rPr>
    </w:tblStylePr>
    <w:tblStylePr w:type="lastCol">
      <w:rPr>
        <w:b w:val="1"/>
        <w:color w:val="8da9db" w:themeColor="accent5" w:themeShade="000095" w:themeTint="00009A"/>
      </w:r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6Colorful-Accent61" w:customStyle="1">
    <w:name w:val="List Table 6 Colorful - Accent 61"/>
    <w:basedOn w:val="TableNormal"/>
    <w:uiPriority w:val="99"/>
    <w:tblPr>
      <w:tblStyleRowBandSize w:val="1"/>
      <w:tblStyleColBandSize w:val="1"/>
      <w:tblBorders>
        <w:top w:color="a9d08e" w:space="0" w:sz="4" w:themeColor="accent6" w:themeTint="000098" w:val="single"/>
        <w:bottom w:color="a9d08e" w:space="0" w:sz="4" w:themeColor="accent6" w:themeTint="000098" w:val="single"/>
      </w:tblBorders>
    </w:tblPr>
    <w:tblStylePr w:type="firstRow">
      <w:rPr>
        <w:b w:val="1"/>
        <w:color w:val="a9d08e" w:themeColor="accent6" w:themeShade="000095" w:themeTint="000098"/>
      </w:rPr>
      <w:tblPr/>
      <w:tcPr>
        <w:tcBorders>
          <w:bottom w:color="a9d08e" w:space="0" w:sz="4" w:themeColor="accent6" w:themeTint="000098" w:val="single"/>
        </w:tcBorders>
      </w:tcPr>
    </w:tblStylePr>
    <w:tblStylePr w:type="lastRow">
      <w:rPr>
        <w:b w:val="1"/>
        <w:color w:val="a9d08e" w:themeColor="accent6" w:themeShade="000095" w:themeTint="000098"/>
      </w:rPr>
      <w:tblPr/>
      <w:tcPr>
        <w:tcBorders>
          <w:top w:color="a9d08e" w:space="0" w:sz="4" w:themeColor="accent6" w:themeTint="000098" w:val="single"/>
        </w:tcBorders>
      </w:tcPr>
    </w:tblStylePr>
    <w:tblStylePr w:type="firstCol">
      <w:rPr>
        <w:b w:val="1"/>
        <w:color w:val="a9d08e" w:themeColor="accent6" w:themeShade="000095" w:themeTint="000098"/>
      </w:rPr>
    </w:tblStylePr>
    <w:tblStylePr w:type="lastCol">
      <w:rPr>
        <w:b w:val="1"/>
        <w:color w:val="a9d08e" w:themeColor="accent6" w:themeShade="000095" w:themeTint="000098"/>
      </w:r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stTable7Colorful">
    <w:name w:val="List Table 7 Colorful"/>
    <w:basedOn w:val="TableNormal"/>
    <w:uiPriority w:val="99"/>
    <w:tblPr>
      <w:tblStyleRowBandSize w:val="1"/>
      <w:tblStyleColBandSize w:val="1"/>
      <w:tblBorders>
        <w:right w:color="7f7f7f" w:space="0" w:sz="4" w:themeColor="text1" w:themeTint="000080" w:val="single"/>
      </w:tblBorders>
    </w:tblPr>
    <w:tblStylePr w:type="firstRow">
      <w:rPr>
        <w:rFonts w:ascii="Arial" w:hAnsi="Arial"/>
        <w:i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i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bfbfbf" w:themeFill="text1" w:themeFillTint="000040" w:val="clear"/>
      </w:tcPr>
    </w:tblStylePr>
    <w:tblStylePr w:type="band1Horz">
      <w:rPr>
        <w:rFonts w:ascii="Arial" w:hAnsi="Arial"/>
        <w:color w:val="7f7f7f" w:themeColor="text1" w:themeShade="000095" w:themeTint="000080"/>
        <w:sz w:val="22"/>
      </w:rPr>
      <w:tblPr/>
      <w:tcPr>
        <w:shd w:color="auto" w:fill="bfbfbf" w:themeFill="text1" w:themeFillTint="000040" w:val="clear"/>
      </w:tcPr>
    </w:tblStylePr>
    <w:tblStylePr w:type="band2Horz">
      <w:rPr>
        <w:rFonts w:ascii="Arial" w:hAnsi="Arial"/>
        <w:color w:val="7f7f7f" w:themeColor="text1" w:themeShade="000095" w:themeTint="000080"/>
        <w:sz w:val="22"/>
      </w:rPr>
    </w:tblStylePr>
  </w:style>
  <w:style w:type="table" w:styleId="ListTable7Colorful-Accent11" w:customStyle="1">
    <w:name w:val="List Table 7 Colorful - Accent 11"/>
    <w:basedOn w:val="TableNormal"/>
    <w:uiPriority w:val="99"/>
    <w:tblPr>
      <w:tblStyleRowBandSize w:val="1"/>
      <w:tblStyleColBandSize w:val="1"/>
      <w:tblBorders>
        <w:right w:color="5b9bd5" w:space="0" w:sz="4" w:themeColor="accent1" w:val="single"/>
      </w:tblBorders>
    </w:tblPr>
    <w:tblStylePr w:type="firstRow">
      <w:rPr>
        <w:rFonts w:ascii="Arial" w:hAnsi="Arial"/>
        <w:i w:val="1"/>
        <w:color w:val="245a8d" w:themeColor="accent1" w:themeShade="000095"/>
        <w:sz w:val="22"/>
      </w:rPr>
      <w:tblPr/>
      <w:tcPr>
        <w:tcBorders>
          <w:top w:color="000000" w:space="0" w:sz="4" w:val="none"/>
          <w:left w:color="000000" w:space="0" w:sz="4" w:val="none"/>
          <w:bottom w:color="5b9bd5" w:space="0" w:sz="4" w:themeColor="accent1" w:val="single"/>
          <w:right w:color="000000" w:space="0" w:sz="4" w:val="none"/>
        </w:tcBorders>
        <w:shd w:color="auto" w:fill="ffffff" w:themeFill="light1" w:val="clear"/>
      </w:tcPr>
    </w:tblStylePr>
    <w:tblStylePr w:type="lastRow">
      <w:rPr>
        <w:rFonts w:ascii="Arial" w:hAnsi="Arial"/>
        <w:i w:val="1"/>
        <w:color w:val="245a8d" w:themeColor="accent1" w:themeShade="000095"/>
        <w:sz w:val="22"/>
      </w:rPr>
      <w:tblPr/>
      <w:tcPr>
        <w:tcBorders>
          <w:top w:color="5b9bd5" w:space="0" w:sz="4" w:themeColor="accent1"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45a8d" w:themeColor="accent1" w:themeShade="000095"/>
        <w:sz w:val="22"/>
      </w:rPr>
      <w:tblPr/>
      <w:tcPr>
        <w:tcBorders>
          <w:top w:color="000000" w:space="0" w:sz="4" w:val="none"/>
          <w:left w:color="000000" w:space="0" w:sz="4" w:val="none"/>
          <w:bottom w:color="000000" w:space="0" w:sz="4" w:val="none"/>
          <w:right w:color="5b9bd5" w:space="0" w:sz="4" w:themeColor="accent1" w:val="single"/>
        </w:tcBorders>
        <w:shd w:color="auto" w:fill="ffffff" w:val="clear"/>
      </w:tcPr>
    </w:tblStylePr>
    <w:tblStylePr w:type="lastCol">
      <w:rPr>
        <w:rFonts w:ascii="Arial" w:hAnsi="Arial"/>
        <w:i w:val="1"/>
        <w:color w:val="245a8d" w:themeColor="accent1" w:themeShade="000095"/>
        <w:sz w:val="22"/>
      </w:rPr>
      <w:tblPr/>
      <w:tcPr>
        <w:tcBorders>
          <w:top w:color="000000" w:space="0" w:sz="4" w:val="none"/>
          <w:left w:color="5b9bd5" w:space="0" w:sz="4" w:themeColor="accent1" w:val="single"/>
          <w:bottom w:color="000000" w:space="0" w:sz="4" w:val="none"/>
          <w:right w:color="000000" w:space="0" w:sz="4" w:val="none"/>
        </w:tcBorders>
        <w:shd w:color="auto" w:fill="ffffff" w:val="clear"/>
      </w:tc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7Colorful-Accent21" w:customStyle="1">
    <w:name w:val="List Table 7 Colorful - Accent 21"/>
    <w:basedOn w:val="TableNormal"/>
    <w:uiPriority w:val="99"/>
    <w:tblPr>
      <w:tblStyleRowBandSize w:val="1"/>
      <w:tblStyleColBandSize w:val="1"/>
      <w:tblBorders>
        <w:right w:color="f4b184" w:space="0" w:sz="4" w:themeColor="accent2" w:themeTint="000097" w:val="single"/>
      </w:tblBorders>
    </w:tblPr>
    <w:tblStylePr w:type="firstRow">
      <w:rPr>
        <w:rFonts w:ascii="Arial" w:hAnsi="Arial"/>
        <w:i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i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7Colorful-Accent31" w:customStyle="1">
    <w:name w:val="List Table 7 Colorful - Accent 31"/>
    <w:basedOn w:val="TableNormal"/>
    <w:uiPriority w:val="99"/>
    <w:tblPr>
      <w:tblStyleRowBandSize w:val="1"/>
      <w:tblStyleColBandSize w:val="1"/>
      <w:tblBorders>
        <w:right w:color="c9c9c9" w:space="0" w:sz="4" w:themeColor="accent3" w:themeTint="000098" w:val="single"/>
      </w:tblBorders>
    </w:tblPr>
    <w:tblStylePr w:type="firstRow">
      <w:rPr>
        <w:rFonts w:ascii="Arial" w:hAnsi="Arial"/>
        <w:i w:val="1"/>
        <w:color w:val="c9c9c9" w:themeColor="accent3" w:themeShade="000095" w:themeTint="000098"/>
        <w:sz w:val="22"/>
      </w:rPr>
      <w:tblPr/>
      <w:tcPr>
        <w:tcBorders>
          <w:top w:color="000000" w:space="0" w:sz="4" w:val="none"/>
          <w:left w:color="000000" w:space="0" w:sz="4" w:val="none"/>
          <w:bottom w:color="c9c9c9" w:space="0" w:sz="4" w:themeColor="accent3" w:themeTint="000098" w:val="single"/>
          <w:right w:color="000000" w:space="0" w:sz="4" w:val="none"/>
        </w:tcBorders>
        <w:shd w:color="auto" w:fill="ffffff" w:themeFill="light1" w:val="clear"/>
      </w:tcPr>
    </w:tblStylePr>
    <w:tblStylePr w:type="lastRow">
      <w:rPr>
        <w:rFonts w:ascii="Arial" w:hAnsi="Arial"/>
        <w:i w:val="1"/>
        <w:color w:val="c9c9c9" w:themeColor="accent3" w:themeShade="000095" w:themeTint="000098"/>
        <w:sz w:val="22"/>
      </w:rPr>
      <w:tblPr/>
      <w:tcPr>
        <w:tcBorders>
          <w:top w:color="c9c9c9" w:space="0" w:sz="4" w:themeColor="accent3"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c9c9c9" w:themeColor="accent3" w:themeShade="000095" w:themeTint="000098"/>
        <w:sz w:val="22"/>
      </w:rPr>
      <w:tblPr/>
      <w:tcPr>
        <w:tcBorders>
          <w:top w:color="000000" w:space="0" w:sz="4" w:val="none"/>
          <w:left w:color="000000" w:space="0" w:sz="4" w:val="none"/>
          <w:bottom w:color="000000" w:space="0" w:sz="4" w:val="none"/>
          <w:right w:color="c9c9c9" w:space="0" w:sz="4" w:themeColor="accent3" w:themeTint="000098" w:val="single"/>
        </w:tcBorders>
        <w:shd w:color="auto" w:fill="ffffff" w:val="clear"/>
      </w:tcPr>
    </w:tblStylePr>
    <w:tblStylePr w:type="lastCol">
      <w:rPr>
        <w:rFonts w:ascii="Arial" w:hAnsi="Arial"/>
        <w:i w:val="1"/>
        <w:color w:val="c9c9c9" w:themeColor="accent3" w:themeShade="000095" w:themeTint="000098"/>
        <w:sz w:val="22"/>
      </w:rPr>
      <w:tblPr/>
      <w:tcPr>
        <w:tcBorders>
          <w:top w:color="000000" w:space="0" w:sz="4" w:val="none"/>
          <w:left w:color="c9c9c9" w:space="0" w:sz="4" w:themeColor="accent3" w:themeTint="000098" w:val="single"/>
          <w:bottom w:color="000000" w:space="0" w:sz="4" w:val="none"/>
          <w:right w:color="000000" w:space="0" w:sz="4" w:val="none"/>
        </w:tcBorders>
        <w:shd w:color="auto" w:fill="ffffff" w:val="clear"/>
      </w:tc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7Colorful-Accent41" w:customStyle="1">
    <w:name w:val="List Table 7 Colorful - Accent 41"/>
    <w:basedOn w:val="TableNormal"/>
    <w:uiPriority w:val="99"/>
    <w:tblPr>
      <w:tblStyleRowBandSize w:val="1"/>
      <w:tblStyleColBandSize w:val="1"/>
      <w:tblBorders>
        <w:right w:color="ffd865" w:space="0" w:sz="4" w:themeColor="accent4" w:themeTint="00009A" w:val="single"/>
      </w:tblBorders>
    </w:tblPr>
    <w:tblStylePr w:type="firstRow">
      <w:rPr>
        <w:rFonts w:ascii="Arial" w:hAnsi="Arial"/>
        <w:i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i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7Colorful-Accent51" w:customStyle="1">
    <w:name w:val="List Table 7 Colorful - Accent 51"/>
    <w:basedOn w:val="TableNormal"/>
    <w:uiPriority w:val="99"/>
    <w:tblPr>
      <w:tblStyleRowBandSize w:val="1"/>
      <w:tblStyleColBandSize w:val="1"/>
      <w:tblBorders>
        <w:right w:color="8da9db" w:space="0" w:sz="4" w:themeColor="accent5" w:themeTint="00009A" w:val="single"/>
      </w:tblBorders>
    </w:tblPr>
    <w:tblStylePr w:type="firstRow">
      <w:rPr>
        <w:rFonts w:ascii="Arial" w:hAnsi="Arial"/>
        <w:i w:val="1"/>
        <w:color w:val="8da9db" w:themeColor="accent5" w:themeShade="000095" w:themeTint="00009A"/>
        <w:sz w:val="22"/>
      </w:rPr>
      <w:tblPr/>
      <w:tcPr>
        <w:tcBorders>
          <w:top w:color="000000" w:space="0" w:sz="4" w:val="none"/>
          <w:left w:color="000000" w:space="0" w:sz="4" w:val="none"/>
          <w:bottom w:color="8da9db" w:space="0" w:sz="4" w:themeColor="accent5" w:themeTint="00009A" w:val="single"/>
          <w:right w:color="000000" w:space="0" w:sz="4" w:val="none"/>
        </w:tcBorders>
        <w:shd w:color="auto" w:fill="ffffff" w:themeFill="light1" w:val="clear"/>
      </w:tcPr>
    </w:tblStylePr>
    <w:tblStylePr w:type="lastRow">
      <w:rPr>
        <w:rFonts w:ascii="Arial" w:hAnsi="Arial"/>
        <w:i w:val="1"/>
        <w:color w:val="8da9db" w:themeColor="accent5" w:themeShade="000095" w:themeTint="00009A"/>
        <w:sz w:val="22"/>
      </w:rPr>
      <w:tblPr/>
      <w:tcPr>
        <w:tcBorders>
          <w:top w:color="8da9db" w:space="0" w:sz="4" w:themeColor="accent5"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8da9db" w:themeColor="accent5" w:themeShade="000095" w:themeTint="00009A"/>
        <w:sz w:val="22"/>
      </w:rPr>
      <w:tblPr/>
      <w:tcPr>
        <w:tcBorders>
          <w:top w:color="000000" w:space="0" w:sz="4" w:val="none"/>
          <w:left w:color="000000" w:space="0" w:sz="4" w:val="none"/>
          <w:bottom w:color="000000" w:space="0" w:sz="4" w:val="none"/>
          <w:right w:color="8da9db" w:space="0" w:sz="4" w:themeColor="accent5" w:themeTint="00009A" w:val="single"/>
        </w:tcBorders>
        <w:shd w:color="auto" w:fill="ffffff" w:val="clear"/>
      </w:tcPr>
    </w:tblStylePr>
    <w:tblStylePr w:type="lastCol">
      <w:rPr>
        <w:rFonts w:ascii="Arial" w:hAnsi="Arial"/>
        <w:i w:val="1"/>
        <w:color w:val="8da9db" w:themeColor="accent5" w:themeShade="000095" w:themeTint="00009A"/>
        <w:sz w:val="22"/>
      </w:rPr>
      <w:tblPr/>
      <w:tcPr>
        <w:tcBorders>
          <w:top w:color="000000" w:space="0" w:sz="4" w:val="none"/>
          <w:left w:color="8da9db" w:space="0" w:sz="4" w:themeColor="accent5" w:themeTint="00009A" w:val="single"/>
          <w:bottom w:color="000000" w:space="0" w:sz="4" w:val="none"/>
          <w:right w:color="000000" w:space="0" w:sz="4" w:val="none"/>
        </w:tcBorders>
        <w:shd w:color="auto" w:fill="ffffff" w:val="clear"/>
      </w:tc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7Colorful-Accent61" w:customStyle="1">
    <w:name w:val="List Table 7 Colorful - Accent 61"/>
    <w:basedOn w:val="TableNormal"/>
    <w:uiPriority w:val="99"/>
    <w:tblPr>
      <w:tblStyleRowBandSize w:val="1"/>
      <w:tblStyleColBandSize w:val="1"/>
      <w:tblBorders>
        <w:right w:color="a9d08e" w:space="0" w:sz="4" w:themeColor="accent6" w:themeTint="000098" w:val="single"/>
      </w:tblBorders>
    </w:tblPr>
    <w:tblStylePr w:type="firstRow">
      <w:rPr>
        <w:rFonts w:ascii="Arial" w:hAnsi="Arial"/>
        <w:i w:val="1"/>
        <w:color w:val="a9d08e" w:themeColor="accent6" w:themeShade="000095" w:themeTint="000098"/>
        <w:sz w:val="22"/>
      </w:rPr>
      <w:tblPr/>
      <w:tcPr>
        <w:tcBorders>
          <w:top w:color="000000" w:space="0" w:sz="4" w:val="none"/>
          <w:left w:color="000000" w:space="0" w:sz="4" w:val="none"/>
          <w:bottom w:color="a9d08e" w:space="0" w:sz="4" w:themeColor="accent6" w:themeTint="000098" w:val="single"/>
          <w:right w:color="000000" w:space="0" w:sz="4" w:val="none"/>
        </w:tcBorders>
        <w:shd w:color="auto" w:fill="ffffff" w:themeFill="light1" w:val="clear"/>
      </w:tcPr>
    </w:tblStylePr>
    <w:tblStylePr w:type="lastRow">
      <w:rPr>
        <w:rFonts w:ascii="Arial" w:hAnsi="Arial"/>
        <w:i w:val="1"/>
        <w:color w:val="a9d08e" w:themeColor="accent6" w:themeShade="000095" w:themeTint="000098"/>
        <w:sz w:val="22"/>
      </w:rPr>
      <w:tblPr/>
      <w:tcPr>
        <w:tcBorders>
          <w:top w:color="a9d08e" w:space="0" w:sz="4" w:themeColor="accent6"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9d08e" w:themeColor="accent6" w:themeShade="000095" w:themeTint="000098"/>
        <w:sz w:val="22"/>
      </w:rPr>
      <w:tblPr/>
      <w:tcPr>
        <w:tcBorders>
          <w:top w:color="000000" w:space="0" w:sz="4" w:val="none"/>
          <w:left w:color="000000" w:space="0" w:sz="4" w:val="none"/>
          <w:bottom w:color="000000" w:space="0" w:sz="4" w:val="none"/>
          <w:right w:color="a9d08e" w:space="0" w:sz="4" w:themeColor="accent6" w:themeTint="000098" w:val="single"/>
        </w:tcBorders>
        <w:shd w:color="auto" w:fill="ffffff" w:val="clear"/>
      </w:tcPr>
    </w:tblStylePr>
    <w:tblStylePr w:type="lastCol">
      <w:rPr>
        <w:rFonts w:ascii="Arial" w:hAnsi="Arial"/>
        <w:i w:val="1"/>
        <w:color w:val="a9d08e" w:themeColor="accent6" w:themeShade="000095" w:themeTint="000098"/>
        <w:sz w:val="22"/>
      </w:rPr>
      <w:tblPr/>
      <w:tcPr>
        <w:tcBorders>
          <w:top w:color="000000" w:space="0" w:sz="4" w:val="none"/>
          <w:left w:color="a9d08e" w:space="0" w:sz="4" w:themeColor="accent6" w:themeTint="000098" w:val="single"/>
          <w:bottom w:color="000000" w:space="0" w:sz="4" w:val="none"/>
          <w:right w:color="000000" w:space="0" w:sz="4" w:val="none"/>
        </w:tcBorders>
        <w:shd w:color="auto" w:fill="ffffff" w:val="clear"/>
      </w:tc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ned-Accent" w:customStyle="1">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Lined-Accent1" w:customStyle="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Lined-Accent2" w:customStyle="1">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Lined-Accent3" w:customStyle="1">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Lined-Accent4" w:customStyle="1">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Lined-Accent5" w:customStyle="1">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Lined-Accent6" w:customStyle="1">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Lined-Accent" w:customStyle="1">
    <w:name w:val="Bordered &amp; Lined - Accent"/>
    <w:basedOn w:val="TableNormal"/>
    <w:uiPriority w:val="99"/>
    <w:rPr>
      <w:color w:val="404040"/>
      <w:sz w:val="20"/>
      <w:szCs w:val="20"/>
      <w:lang w:eastAsia="de-DE"/>
    </w:rPr>
    <w:tblPr>
      <w:tblStyleRowBandSize w:val="1"/>
      <w:tblStyleColBandSize w:val="1"/>
      <w:tblBorders>
        <w:top w:color="595959" w:space="0" w:sz="4" w:themeColor="text1" w:themeTint="0000A6" w:val="single"/>
        <w:left w:color="595959" w:space="0" w:sz="4" w:themeColor="text1" w:themeTint="0000A6" w:val="single"/>
        <w:bottom w:color="595959" w:space="0" w:sz="4" w:themeColor="text1" w:themeTint="0000A6" w:val="single"/>
        <w:right w:color="595959" w:space="0" w:sz="4" w:themeColor="text1" w:themeTint="0000A6" w:val="single"/>
        <w:insideH w:color="595959" w:space="0" w:sz="4" w:themeColor="text1" w:themeTint="0000A6" w:val="single"/>
        <w:insideV w:color="595959" w:space="0" w:sz="4" w:themeColor="text1" w:themeTint="0000A6" w:val="single"/>
      </w:tblBorders>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BorderedLined-Accent1" w:customStyle="1">
    <w:name w:val="Bordered &amp; Lined - Accent 1"/>
    <w:basedOn w:val="TableNormal"/>
    <w:uiPriority w:val="99"/>
    <w:rPr>
      <w:color w:val="404040"/>
      <w:sz w:val="20"/>
      <w:szCs w:val="20"/>
      <w:lang w:eastAsia="de-DE"/>
    </w:rPr>
    <w:tblPr>
      <w:tblStyleRowBandSize w:val="1"/>
      <w:tblStyleColBandSize w:val="1"/>
      <w:tblBorders>
        <w:top w:color="245a8d" w:space="0" w:sz="4" w:themeColor="accent1" w:themeShade="000095" w:val="single"/>
        <w:left w:color="245a8d" w:space="0" w:sz="4" w:themeColor="accent1" w:themeShade="000095" w:val="single"/>
        <w:bottom w:color="245a8d" w:space="0" w:sz="4" w:themeColor="accent1" w:themeShade="000095" w:val="single"/>
        <w:right w:color="245a8d" w:space="0" w:sz="4" w:themeColor="accent1" w:themeShade="000095" w:val="single"/>
        <w:insideH w:color="245a8d" w:space="0" w:sz="4" w:themeColor="accent1" w:themeShade="000095" w:val="single"/>
        <w:insideV w:color="245a8d" w:space="0" w:sz="4" w:themeColor="accent1" w:themeShade="000095" w:val="single"/>
      </w:tblBorders>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BorderedLined-Accent2" w:customStyle="1">
    <w:name w:val="Bordered &amp; Lined - Accent 2"/>
    <w:basedOn w:val="TableNormal"/>
    <w:uiPriority w:val="99"/>
    <w:rPr>
      <w:color w:val="404040"/>
      <w:sz w:val="20"/>
      <w:szCs w:val="20"/>
      <w:lang w:eastAsia="de-DE"/>
    </w:rPr>
    <w:tblPr>
      <w:tblStyleRowBandSize w:val="1"/>
      <w:tblStyleColBandSize w:val="1"/>
      <w:tblBorders>
        <w:top w:color="99460d" w:space="0" w:sz="4" w:themeColor="accent2" w:themeShade="000095" w:val="single"/>
        <w:left w:color="99460d" w:space="0" w:sz="4" w:themeColor="accent2" w:themeShade="000095" w:val="single"/>
        <w:bottom w:color="99460d" w:space="0" w:sz="4" w:themeColor="accent2" w:themeShade="000095" w:val="single"/>
        <w:right w:color="99460d" w:space="0" w:sz="4" w:themeColor="accent2" w:themeShade="000095" w:val="single"/>
        <w:insideH w:color="99460d" w:space="0" w:sz="4" w:themeColor="accent2" w:themeShade="000095" w:val="single"/>
        <w:insideV w:color="99460d" w:space="0" w:sz="4" w:themeColor="accent2" w:themeShade="000095" w:val="single"/>
      </w:tblBorders>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BorderedLined-Accent3" w:customStyle="1">
    <w:name w:val="Bordered &amp; Lined - Accent 3"/>
    <w:basedOn w:val="TableNormal"/>
    <w:uiPriority w:val="99"/>
    <w:rPr>
      <w:color w:val="404040"/>
      <w:sz w:val="20"/>
      <w:szCs w:val="20"/>
      <w:lang w:eastAsia="de-DE"/>
    </w:rPr>
    <w:tblPr>
      <w:tblStyleRowBandSize w:val="1"/>
      <w:tblStyleColBandSize w:val="1"/>
      <w:tblBorders>
        <w:top w:color="606060" w:space="0" w:sz="4" w:themeColor="accent3" w:themeShade="000095" w:val="single"/>
        <w:left w:color="606060" w:space="0" w:sz="4" w:themeColor="accent3" w:themeShade="000095" w:val="single"/>
        <w:bottom w:color="606060" w:space="0" w:sz="4" w:themeColor="accent3" w:themeShade="000095" w:val="single"/>
        <w:right w:color="606060" w:space="0" w:sz="4" w:themeColor="accent3" w:themeShade="000095" w:val="single"/>
        <w:insideH w:color="606060" w:space="0" w:sz="4" w:themeColor="accent3" w:themeShade="000095" w:val="single"/>
        <w:insideV w:color="606060" w:space="0" w:sz="4" w:themeColor="accent3" w:themeShade="000095" w:val="single"/>
      </w:tblBorders>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BorderedLined-Accent4" w:customStyle="1">
    <w:name w:val="Bordered &amp; Lined - Accent 4"/>
    <w:basedOn w:val="TableNormal"/>
    <w:uiPriority w:val="99"/>
    <w:rPr>
      <w:color w:val="404040"/>
      <w:sz w:val="20"/>
      <w:szCs w:val="20"/>
      <w:lang w:eastAsia="de-DE"/>
    </w:rPr>
    <w:tblPr>
      <w:tblStyleRowBandSize w:val="1"/>
      <w:tblStyleColBandSize w:val="1"/>
      <w:tblBorders>
        <w:top w:color="957000" w:space="0" w:sz="4" w:themeColor="accent4" w:themeShade="000095" w:val="single"/>
        <w:left w:color="957000" w:space="0" w:sz="4" w:themeColor="accent4" w:themeShade="000095" w:val="single"/>
        <w:bottom w:color="957000" w:space="0" w:sz="4" w:themeColor="accent4" w:themeShade="000095" w:val="single"/>
        <w:right w:color="957000" w:space="0" w:sz="4" w:themeColor="accent4" w:themeShade="000095" w:val="single"/>
        <w:insideH w:color="957000" w:space="0" w:sz="4" w:themeColor="accent4" w:themeShade="000095" w:val="single"/>
        <w:insideV w:color="957000" w:space="0" w:sz="4" w:themeColor="accent4" w:themeShade="000095" w:val="single"/>
      </w:tblBorders>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BorderedLined-Accent5" w:customStyle="1">
    <w:name w:val="Bordered &amp; Lined - Accent 5"/>
    <w:basedOn w:val="TableNormal"/>
    <w:uiPriority w:val="99"/>
    <w:rPr>
      <w:color w:val="404040"/>
      <w:sz w:val="20"/>
      <w:szCs w:val="20"/>
      <w:lang w:eastAsia="de-DE"/>
    </w:rPr>
    <w:tblPr>
      <w:tblStyleRowBandSize w:val="1"/>
      <w:tblStyleColBandSize w:val="1"/>
      <w:tblBorders>
        <w:top w:color="254175" w:space="0" w:sz="4" w:themeColor="accent5" w:themeShade="000095" w:val="single"/>
        <w:left w:color="254175" w:space="0" w:sz="4" w:themeColor="accent5" w:themeShade="000095" w:val="single"/>
        <w:bottom w:color="254175" w:space="0" w:sz="4" w:themeColor="accent5" w:themeShade="000095" w:val="single"/>
        <w:right w:color="254175" w:space="0" w:sz="4" w:themeColor="accent5" w:themeShade="000095" w:val="single"/>
        <w:insideH w:color="254175" w:space="0" w:sz="4" w:themeColor="accent5" w:themeShade="000095" w:val="single"/>
        <w:insideV w:color="254175" w:space="0" w:sz="4" w:themeColor="accent5" w:themeShade="000095" w:val="single"/>
      </w:tblBorders>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BorderedLined-Accent6" w:customStyle="1">
    <w:name w:val="Bordered &amp; Lined - Accent 6"/>
    <w:basedOn w:val="TableNormal"/>
    <w:uiPriority w:val="99"/>
    <w:rPr>
      <w:color w:val="404040"/>
      <w:sz w:val="20"/>
      <w:szCs w:val="20"/>
      <w:lang w:eastAsia="de-DE"/>
    </w:rPr>
    <w:tblPr>
      <w:tblStyleRowBandSize w:val="1"/>
      <w:tblStyleColBandSize w:val="1"/>
      <w:tblBorders>
        <w:top w:color="416429" w:space="0" w:sz="4" w:themeColor="accent6" w:themeShade="000095" w:val="single"/>
        <w:left w:color="416429" w:space="0" w:sz="4" w:themeColor="accent6" w:themeShade="000095" w:val="single"/>
        <w:bottom w:color="416429" w:space="0" w:sz="4" w:themeColor="accent6" w:themeShade="000095" w:val="single"/>
        <w:right w:color="416429" w:space="0" w:sz="4" w:themeColor="accent6" w:themeShade="000095" w:val="single"/>
        <w:insideH w:color="416429" w:space="0" w:sz="4" w:themeColor="accent6" w:themeShade="000095" w:val="single"/>
        <w:insideV w:color="416429" w:space="0" w:sz="4" w:themeColor="accent6" w:themeShade="000095" w:val="single"/>
      </w:tblBorders>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 w:customStyle="1">
    <w:name w:val="Bordered"/>
    <w:basedOn w:val="TableNormal"/>
    <w:uiPriority w:val="99"/>
    <w:tblPr>
      <w:tblStyleRowBandSize w:val="1"/>
      <w:tblStyleColBandSize w:val="1"/>
      <w:tbl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insideH w:color="d9d9d9" w:space="0" w:sz="4" w:themeColor="text1" w:themeTint="000026" w:val="single"/>
        <w:insideV w:color="d9d9d9" w:space="0" w:sz="4" w:themeColor="text1" w:themeTint="000026" w:val="single"/>
      </w:tblBorders>
    </w:tblPr>
    <w:tblStylePr w:type="firstRow">
      <w:rPr>
        <w:rFonts w:ascii="Arial" w:hAnsi="Arial"/>
        <w:color w:val="404040"/>
        <w:sz w:val="22"/>
      </w:rPr>
      <w:tblPr/>
      <w:tcPr>
        <w:tcBorders>
          <w:bottom w:color="7f7f7f" w:space="0" w:sz="12" w:themeColor="text1" w:themeTint="000080" w:val="single"/>
        </w:tcBorders>
      </w:tcPr>
    </w:tblStylePr>
    <w:tblStylePr w:type="lastRow">
      <w:rPr>
        <w:rFonts w:ascii="Arial" w:hAnsi="Arial"/>
        <w:color w:val="404040"/>
        <w:sz w:val="22"/>
      </w:rPr>
      <w:tblPr/>
      <w:tcPr>
        <w:tcBorders>
          <w:top w:color="7f7f7f" w:space="0" w:sz="12" w:themeColor="text1" w:themeTint="000080"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7f7f7f" w:space="0" w:sz="12" w:themeColor="text1" w:themeTint="000080" w:val="single"/>
        </w:tcBorders>
      </w:tcPr>
    </w:tblStylePr>
    <w:tblStylePr w:type="band1Horz">
      <w:rPr>
        <w:rFonts w:ascii="Arial" w:hAnsi="Arial"/>
        <w:color w:val="404040"/>
        <w:sz w:val="22"/>
      </w:rPr>
      <w:tblPr/>
      <w:tcPr>
        <w:tc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tcBorders>
      </w:tcPr>
    </w:tblStylePr>
  </w:style>
  <w:style w:type="table" w:styleId="Bordered-Accent1" w:customStyle="1">
    <w:name w:val="Bordered - Accent 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rFonts w:ascii="Arial" w:hAnsi="Arial"/>
        <w:color w:val="404040"/>
        <w:sz w:val="22"/>
      </w:rPr>
      <w:tblPr/>
      <w:tcPr>
        <w:tcBorders>
          <w:bottom w:color="5b9bd5" w:space="0" w:sz="12" w:themeColor="accent1" w:val="single"/>
        </w:tcBorders>
      </w:tcPr>
    </w:tblStylePr>
    <w:tblStylePr w:type="lastRow">
      <w:rPr>
        <w:rFonts w:ascii="Arial" w:hAnsi="Arial"/>
        <w:color w:val="404040"/>
        <w:sz w:val="22"/>
      </w:rPr>
      <w:tblPr/>
      <w:tcPr>
        <w:tcBorders>
          <w:top w:color="5b9bd5" w:space="0" w:sz="12" w:themeColor="accent1"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5b9bd5" w:space="0" w:sz="12" w:themeColor="accent1" w:val="single"/>
        </w:tcBorders>
      </w:tc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Bordered-Accent2" w:customStyle="1">
    <w:name w:val="Bordered - Accent 2"/>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rFonts w:ascii="Arial" w:hAnsi="Arial"/>
        <w:color w:val="404040"/>
        <w:sz w:val="22"/>
      </w:rPr>
      <w:tblPr/>
      <w:tcPr>
        <w:tcBorders>
          <w:bottom w:color="f4b184" w:space="0" w:sz="12" w:themeColor="accent2" w:themeTint="000097" w:val="single"/>
        </w:tcBorders>
      </w:tcPr>
    </w:tblStylePr>
    <w:tblStylePr w:type="lastRow">
      <w:rPr>
        <w:rFonts w:ascii="Arial" w:hAnsi="Arial"/>
        <w:color w:val="404040"/>
        <w:sz w:val="22"/>
      </w:rPr>
      <w:tblPr/>
      <w:tcPr>
        <w:tcBorders>
          <w:top w:color="f4b184" w:space="0" w:sz="12" w:themeColor="accent2" w:themeTint="000097"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4b184" w:space="0" w:sz="12" w:themeColor="accent2" w:themeTint="000097" w:val="single"/>
        </w:tcBorders>
      </w:tc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Bordered-Accent3" w:customStyle="1">
    <w:name w:val="Bordered - Accent 3"/>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rFonts w:ascii="Arial" w:hAnsi="Arial"/>
        <w:color w:val="404040"/>
        <w:sz w:val="22"/>
      </w:rPr>
      <w:tblPr/>
      <w:tcPr>
        <w:tcBorders>
          <w:bottom w:color="c9c9c9" w:space="0" w:sz="12" w:themeColor="accent3" w:themeTint="000098" w:val="single"/>
        </w:tcBorders>
      </w:tcPr>
    </w:tblStylePr>
    <w:tblStylePr w:type="lastRow">
      <w:rPr>
        <w:rFonts w:ascii="Arial" w:hAnsi="Arial"/>
        <w:color w:val="404040"/>
        <w:sz w:val="22"/>
      </w:rPr>
      <w:tblPr/>
      <w:tcPr>
        <w:tcBorders>
          <w:top w:color="c9c9c9" w:space="0" w:sz="12" w:themeColor="accent3"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c9c9c9" w:space="0" w:sz="12" w:themeColor="accent3" w:themeTint="000098" w:val="single"/>
        </w:tcBorders>
      </w:tc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Bordered-Accent4" w:customStyle="1">
    <w:name w:val="Bordered - Accent 4"/>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rFonts w:ascii="Arial" w:hAnsi="Arial"/>
        <w:color w:val="404040"/>
        <w:sz w:val="22"/>
      </w:rPr>
      <w:tblPr/>
      <w:tcPr>
        <w:tcBorders>
          <w:bottom w:color="ffd865" w:space="0" w:sz="12" w:themeColor="accent4" w:themeTint="00009A" w:val="single"/>
        </w:tcBorders>
      </w:tcPr>
    </w:tblStylePr>
    <w:tblStylePr w:type="lastRow">
      <w:rPr>
        <w:rFonts w:ascii="Arial" w:hAnsi="Arial"/>
        <w:color w:val="404040"/>
        <w:sz w:val="22"/>
      </w:rPr>
      <w:tblPr/>
      <w:tcPr>
        <w:tcBorders>
          <w:top w:color="ffd865" w:space="0" w:sz="12" w:themeColor="accent4"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fd865" w:space="0" w:sz="12" w:themeColor="accent4" w:themeTint="00009A" w:val="single"/>
        </w:tcBorders>
      </w:tc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Bordered-Accent5" w:customStyle="1">
    <w:name w:val="Bordered - Accent 5"/>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rFonts w:ascii="Arial" w:hAnsi="Arial"/>
        <w:color w:val="404040"/>
        <w:sz w:val="22"/>
      </w:rPr>
      <w:tblPr/>
      <w:tcPr>
        <w:tcBorders>
          <w:bottom w:color="8da9db" w:space="0" w:sz="12" w:themeColor="accent5" w:themeTint="00009A" w:val="single"/>
        </w:tcBorders>
      </w:tcPr>
    </w:tblStylePr>
    <w:tblStylePr w:type="lastRow">
      <w:rPr>
        <w:rFonts w:ascii="Arial" w:hAnsi="Arial"/>
        <w:color w:val="404040"/>
        <w:sz w:val="22"/>
      </w:rPr>
      <w:tblPr/>
      <w:tcPr>
        <w:tcBorders>
          <w:top w:color="8da9db" w:space="0" w:sz="12" w:themeColor="accent5"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8da9db" w:space="0" w:sz="12" w:themeColor="accent5" w:themeTint="00009A" w:val="single"/>
        </w:tcBorders>
      </w:tc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Bordered-Accent6" w:customStyle="1">
    <w:name w:val="Bordered - Accent 6"/>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rFonts w:ascii="Arial" w:hAnsi="Arial"/>
        <w:color w:val="404040"/>
        <w:sz w:val="22"/>
      </w:rPr>
      <w:tblPr/>
      <w:tcPr>
        <w:tcBorders>
          <w:bottom w:color="a9d08e" w:space="0" w:sz="12" w:themeColor="accent6" w:themeTint="000098" w:val="single"/>
        </w:tcBorders>
      </w:tcPr>
    </w:tblStylePr>
    <w:tblStylePr w:type="lastRow">
      <w:rPr>
        <w:rFonts w:ascii="Arial" w:hAnsi="Arial"/>
        <w:color w:val="404040"/>
        <w:sz w:val="22"/>
      </w:rPr>
      <w:tblPr/>
      <w:tcPr>
        <w:tcBorders>
          <w:top w:color="a9d08e" w:space="0" w:sz="12" w:themeColor="accent6"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a9d08e" w:space="0" w:sz="12" w:themeColor="accent6" w:themeTint="000098" w:val="single"/>
        </w:tcBorders>
      </w:tc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character" w:styleId="Hyperlink">
    <w:name w:val="Hyperlink"/>
    <w:uiPriority w:val="99"/>
    <w:unhideWhenUsed w:val="1"/>
    <w:rPr>
      <w:color w:val="0563c1" w:themeColor="hyperlink"/>
      <w:u w:val="single"/>
    </w:rPr>
  </w:style>
  <w:style w:type="paragraph" w:styleId="FootnoteText">
    <w:name w:val="footnote text"/>
    <w:basedOn w:val="Normal"/>
    <w:link w:val="FootnoteTextChar1"/>
    <w:uiPriority w:val="99"/>
    <w:semiHidden w:val="1"/>
    <w:unhideWhenUsed w:val="1"/>
    <w:pPr>
      <w:spacing w:after="40"/>
    </w:pPr>
    <w:rPr>
      <w:sz w:val="18"/>
    </w:rPr>
  </w:style>
  <w:style w:type="character" w:styleId="FootnoteTextChar1" w:customStyle="1">
    <w:name w:val="Footnote Text Char1"/>
    <w:link w:val="FootnoteText"/>
    <w:uiPriority w:val="99"/>
    <w:rPr>
      <w:sz w:val="18"/>
    </w:rPr>
  </w:style>
  <w:style w:type="character" w:styleId="FootnoteReference">
    <w:name w:val="footnote reference"/>
    <w:basedOn w:val="DefaultParagraphFont"/>
    <w:uiPriority w:val="99"/>
    <w:unhideWhenUsed w:val="1"/>
    <w:rPr>
      <w:vertAlign w:val="superscript"/>
    </w:rPr>
  </w:style>
  <w:style w:type="paragraph" w:styleId="TOC1">
    <w:name w:val="toc 1"/>
    <w:basedOn w:val="Normal"/>
    <w:next w:val="Normal"/>
    <w:uiPriority w:val="39"/>
    <w:unhideWhenUsed w:val="1"/>
    <w:pPr>
      <w:spacing w:after="57"/>
    </w:pPr>
  </w:style>
  <w:style w:type="paragraph" w:styleId="TOC2">
    <w:name w:val="toc 2"/>
    <w:basedOn w:val="Normal"/>
    <w:next w:val="Normal"/>
    <w:uiPriority w:val="39"/>
    <w:unhideWhenUsed w:val="1"/>
    <w:pPr>
      <w:spacing w:after="57"/>
      <w:ind w:left="283"/>
    </w:pPr>
  </w:style>
  <w:style w:type="paragraph" w:styleId="TOC3">
    <w:name w:val="toc 3"/>
    <w:basedOn w:val="Normal"/>
    <w:next w:val="Normal"/>
    <w:uiPriority w:val="39"/>
    <w:unhideWhenUsed w:val="1"/>
    <w:pPr>
      <w:spacing w:after="57"/>
      <w:ind w:left="567"/>
    </w:pPr>
  </w:style>
  <w:style w:type="paragraph" w:styleId="TOC4">
    <w:name w:val="toc 4"/>
    <w:basedOn w:val="Normal"/>
    <w:next w:val="Normal"/>
    <w:uiPriority w:val="39"/>
    <w:unhideWhenUsed w:val="1"/>
    <w:pPr>
      <w:spacing w:after="57"/>
      <w:ind w:left="850"/>
    </w:pPr>
  </w:style>
  <w:style w:type="paragraph" w:styleId="TOC5">
    <w:name w:val="toc 5"/>
    <w:basedOn w:val="Normal"/>
    <w:next w:val="Normal"/>
    <w:uiPriority w:val="39"/>
    <w:unhideWhenUsed w:val="1"/>
    <w:pPr>
      <w:spacing w:after="57"/>
      <w:ind w:left="1134"/>
    </w:pPr>
  </w:style>
  <w:style w:type="paragraph" w:styleId="TOC6">
    <w:name w:val="toc 6"/>
    <w:basedOn w:val="Normal"/>
    <w:next w:val="Normal"/>
    <w:uiPriority w:val="39"/>
    <w:unhideWhenUsed w:val="1"/>
    <w:pPr>
      <w:spacing w:after="57"/>
      <w:ind w:left="1417"/>
    </w:pPr>
  </w:style>
  <w:style w:type="paragraph" w:styleId="TOC7">
    <w:name w:val="toc 7"/>
    <w:basedOn w:val="Normal"/>
    <w:next w:val="Normal"/>
    <w:uiPriority w:val="39"/>
    <w:unhideWhenUsed w:val="1"/>
    <w:pPr>
      <w:spacing w:after="57"/>
      <w:ind w:left="1701"/>
    </w:pPr>
  </w:style>
  <w:style w:type="paragraph" w:styleId="TOC8">
    <w:name w:val="toc 8"/>
    <w:basedOn w:val="Normal"/>
    <w:next w:val="Normal"/>
    <w:uiPriority w:val="39"/>
    <w:unhideWhenUsed w:val="1"/>
    <w:pPr>
      <w:spacing w:after="57"/>
      <w:ind w:left="1984"/>
    </w:pPr>
  </w:style>
  <w:style w:type="paragraph" w:styleId="TOC9">
    <w:name w:val="toc 9"/>
    <w:basedOn w:val="Normal"/>
    <w:next w:val="Normal"/>
    <w:uiPriority w:val="39"/>
    <w:unhideWhenUsed w:val="1"/>
    <w:pPr>
      <w:spacing w:after="57"/>
      <w:ind w:left="2268"/>
    </w:pPr>
  </w:style>
  <w:style w:type="paragraph" w:styleId="TOCHeading">
    <w:name w:val="TOC Heading"/>
    <w:uiPriority w:val="39"/>
    <w:unhideWhenUsed w:val="1"/>
  </w:style>
  <w:style w:type="paragraph" w:styleId="H1Title" w:customStyle="1">
    <w:name w:val="H1 Title"/>
    <w:basedOn w:val="Normal"/>
    <w:qFormat w:val="1"/>
    <w:rPr>
      <w:rFonts w:ascii="Avenir Black" w:cs="Arial" w:hAnsi="Avenir Black"/>
      <w:b w:val="1"/>
      <w:bCs w:val="1"/>
      <w:color w:val="5b9bd5" w:themeColor="accent1"/>
      <w:sz w:val="24"/>
    </w:rPr>
  </w:style>
  <w:style w:type="paragraph" w:styleId="H2Title" w:customStyle="1">
    <w:name w:val="H2 Title"/>
    <w:basedOn w:val="H1Title"/>
    <w:qFormat w:val="1"/>
    <w:pPr>
      <w:spacing w:line="360" w:lineRule="auto"/>
    </w:pPr>
    <w:rPr>
      <w:rFonts w:ascii="Avenir Book" w:hAnsi="Avenir Book"/>
      <w:bCs w:val="0"/>
      <w:color w:val="024ea2"/>
    </w:rPr>
  </w:style>
  <w:style w:type="paragraph" w:styleId="H2Subtitle" w:customStyle="1">
    <w:name w:val="H2 Subtitle"/>
    <w:basedOn w:val="Normal"/>
    <w:qFormat w:val="1"/>
    <w:pPr>
      <w:spacing w:line="360" w:lineRule="auto"/>
    </w:pPr>
    <w:rPr>
      <w:rFonts w:cs="Arial"/>
      <w:bCs w:val="1"/>
      <w:color w:val="000000" w:themeColor="text1"/>
      <w:sz w:val="18"/>
    </w:rPr>
  </w:style>
  <w:style w:type="paragraph" w:styleId="H3Title" w:customStyle="1">
    <w:name w:val="H3 Title"/>
    <w:basedOn w:val="Normal"/>
    <w:qFormat w:val="1"/>
    <w:pPr>
      <w:spacing w:before="240" w:line="360" w:lineRule="auto"/>
    </w:pPr>
    <w:rPr>
      <w:rFonts w:cs="Arial"/>
      <w:b w:val="1"/>
      <w:bCs w:val="1"/>
      <w:color w:val="024ea2"/>
    </w:rPr>
  </w:style>
  <w:style w:type="paragraph" w:styleId="Bulletlist" w:customStyle="1">
    <w:name w:val="Bullet list"/>
    <w:basedOn w:val="Normal"/>
    <w:qFormat w:val="1"/>
    <w:pPr>
      <w:ind w:left="567"/>
    </w:pPr>
    <w:rPr>
      <w:lang w:val="en-AU"/>
    </w:rPr>
  </w:style>
  <w:style w:type="paragraph" w:styleId="Revision">
    <w:name w:val="Revision"/>
    <w:hidden w:val="1"/>
    <w:uiPriority w:val="99"/>
    <w:semiHidden w:val="1"/>
    <w:rPr>
      <w:rFonts w:ascii="Avenir Book" w:hAnsi="Avenir Book"/>
    </w:rPr>
  </w:style>
  <w:style w:type="paragraph" w:styleId="Header">
    <w:name w:val="header"/>
    <w:basedOn w:val="Normal"/>
    <w:link w:val="HeaderChar1"/>
    <w:uiPriority w:val="99"/>
    <w:unhideWhenUsed w:val="1"/>
    <w:pPr>
      <w:tabs>
        <w:tab w:val="center" w:pos="4536"/>
        <w:tab w:val="right" w:pos="9072"/>
      </w:tabs>
    </w:pPr>
  </w:style>
  <w:style w:type="character" w:styleId="HeaderChar1" w:customStyle="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val="1"/>
    <w:pPr>
      <w:tabs>
        <w:tab w:val="center" w:pos="4680"/>
        <w:tab w:val="right" w:pos="9360"/>
      </w:tabs>
    </w:pPr>
  </w:style>
  <w:style w:type="character" w:styleId="FooterChar1" w:customStyle="1">
    <w:name w:val="Footer Char1"/>
    <w:basedOn w:val="DefaultParagraphFont"/>
    <w:link w:val="Footer"/>
    <w:uiPriority w:val="99"/>
    <w:rPr>
      <w:rFonts w:ascii="Avenir Book" w:hAnsi="Avenir Book"/>
      <w:color w:val="3c3f42"/>
      <w:sz w:val="15"/>
    </w:rPr>
  </w:style>
  <w:style w:type="character" w:styleId="SubtitleChar1" w:customStyle="1">
    <w:name w:val="Subtitle Char1"/>
    <w:basedOn w:val="DefaultParagraphFont"/>
    <w:link w:val="Subtitle"/>
    <w:uiPriority w:val="11"/>
    <w:rPr>
      <w:rFonts w:eastAsia="Calibri"/>
      <w:color w:val="5a5a5a" w:themeColor="text1" w:themeTint="0000A5"/>
      <w:spacing w:val="15"/>
      <w:sz w:val="22"/>
      <w:szCs w:val="22"/>
    </w:rPr>
  </w:style>
  <w:style w:type="character" w:styleId="TitleChar1" w:customStyle="1">
    <w:name w:val="Title Char1"/>
    <w:basedOn w:val="DefaultParagraphFont"/>
    <w:link w:val="Title"/>
    <w:uiPriority w:val="10"/>
    <w:rPr>
      <w:rFonts w:ascii="Calibri Light" w:cs="Calibri Light" w:eastAsia="Calibri Light" w:hAnsi="Calibri Light"/>
      <w:spacing w:val="-10"/>
      <w:sz w:val="56"/>
      <w:szCs w:val="56"/>
    </w:rPr>
  </w:style>
  <w:style w:type="paragraph" w:styleId="ListParagraph">
    <w:name w:val="List Paragraph"/>
    <w:basedOn w:val="Normal"/>
    <w:uiPriority w:val="34"/>
    <w:pPr>
      <w:ind w:left="720"/>
      <w:contextualSpacing w:val="1"/>
    </w:p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60TI5+YYcIMngKvdWp30yUe1Dg==">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2022-02-21T14:10:00Z</dcterms:created>
  <dc:creator>gu95zev</dc:creator>
</cp:coreProperties>
</file>