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63E696" w14:textId="77777777" w:rsidR="006628BA" w:rsidRDefault="00000000">
      <w:pPr>
        <w:pStyle w:val="Title"/>
        <w:spacing w:before="240" w:after="240"/>
      </w:pPr>
      <w:bookmarkStart w:id="0" w:name="_heading=h.kxqmse93mxhi" w:colFirst="0" w:colLast="0"/>
      <w:bookmarkEnd w:id="0"/>
      <w:r>
        <w:rPr>
          <w:color w:val="5B9BD5"/>
          <w:sz w:val="42"/>
          <w:szCs w:val="42"/>
        </w:rPr>
        <w:t>Submission 2: Technology Trends</w:t>
      </w:r>
    </w:p>
    <w:p w14:paraId="37920B18" w14:textId="77777777" w:rsidR="006628BA" w:rsidRDefault="006628BA">
      <w:pPr>
        <w:rPr>
          <w:sz w:val="20"/>
          <w:szCs w:val="20"/>
        </w:rPr>
      </w:pPr>
    </w:p>
    <w:sdt>
      <w:sdtPr>
        <w:id w:val="-1024824038"/>
        <w:docPartObj>
          <w:docPartGallery w:val="Table of Contents"/>
          <w:docPartUnique/>
        </w:docPartObj>
      </w:sdtPr>
      <w:sdtContent>
        <w:p w14:paraId="78C06245" w14:textId="77777777" w:rsidR="006628BA" w:rsidRDefault="00000000">
          <w:pPr>
            <w:widowControl w:val="0"/>
            <w:tabs>
              <w:tab w:val="right" w:leader="dot" w:pos="12000"/>
            </w:tabs>
            <w:spacing w:before="60" w:after="0"/>
            <w:rPr>
              <w:rFonts w:ascii="Arial" w:eastAsia="Arial" w:hAnsi="Arial" w:cs="Arial"/>
              <w:b/>
              <w:color w:val="000000"/>
              <w:sz w:val="22"/>
              <w:szCs w:val="22"/>
            </w:rPr>
          </w:pPr>
          <w:r>
            <w:fldChar w:fldCharType="begin"/>
          </w:r>
          <w:r>
            <w:instrText xml:space="preserve"> TOC \h \u \z \t "Heading 1,1,Heading 4,4,Heading 5,5,Heading 6,6,"</w:instrText>
          </w:r>
          <w:r>
            <w:fldChar w:fldCharType="separate"/>
          </w:r>
          <w:hyperlink w:anchor="_heading=h.ny12ybcvdqfi">
            <w:r w:rsidR="006628BA">
              <w:rPr>
                <w:color w:val="000000"/>
                <w:sz w:val="20"/>
                <w:szCs w:val="20"/>
              </w:rPr>
              <w:t>Introduction</w:t>
            </w:r>
            <w:r w:rsidR="006628BA">
              <w:rPr>
                <w:color w:val="000000"/>
                <w:sz w:val="20"/>
                <w:szCs w:val="20"/>
              </w:rPr>
              <w:tab/>
              <w:t>2</w:t>
            </w:r>
          </w:hyperlink>
        </w:p>
        <w:p w14:paraId="0786E702" w14:textId="77777777" w:rsidR="006628BA" w:rsidRDefault="006628BA">
          <w:pPr>
            <w:widowControl w:val="0"/>
            <w:tabs>
              <w:tab w:val="right" w:leader="dot" w:pos="12000"/>
            </w:tabs>
            <w:spacing w:before="60" w:after="0"/>
            <w:rPr>
              <w:rFonts w:ascii="Arial" w:eastAsia="Arial" w:hAnsi="Arial" w:cs="Arial"/>
              <w:b/>
              <w:color w:val="000000"/>
              <w:sz w:val="22"/>
              <w:szCs w:val="22"/>
            </w:rPr>
          </w:pPr>
          <w:hyperlink w:anchor="_heading=h.n0n12we30cfh">
            <w:r>
              <w:rPr>
                <w:color w:val="000000"/>
                <w:sz w:val="20"/>
                <w:szCs w:val="20"/>
              </w:rPr>
              <w:t>List of Abbreviations</w:t>
            </w:r>
            <w:r>
              <w:rPr>
                <w:color w:val="000000"/>
                <w:sz w:val="20"/>
                <w:szCs w:val="20"/>
              </w:rPr>
              <w:tab/>
              <w:t>3</w:t>
            </w:r>
          </w:hyperlink>
        </w:p>
        <w:p w14:paraId="5D58E774" w14:textId="77777777" w:rsidR="006628BA" w:rsidRDefault="006628BA">
          <w:pPr>
            <w:widowControl w:val="0"/>
            <w:tabs>
              <w:tab w:val="right" w:leader="dot" w:pos="12000"/>
            </w:tabs>
            <w:spacing w:before="60" w:after="0"/>
            <w:rPr>
              <w:rFonts w:ascii="Arial" w:eastAsia="Arial" w:hAnsi="Arial" w:cs="Arial"/>
              <w:b/>
              <w:color w:val="000000"/>
              <w:sz w:val="22"/>
              <w:szCs w:val="22"/>
            </w:rPr>
          </w:pPr>
          <w:hyperlink w:anchor="_heading=h.yx2pgsttbbeq">
            <w:r>
              <w:rPr>
                <w:color w:val="000000"/>
                <w:sz w:val="20"/>
                <w:szCs w:val="20"/>
              </w:rPr>
              <w:t>01. Leveraging Edge Computing</w:t>
            </w:r>
            <w:r>
              <w:rPr>
                <w:color w:val="000000"/>
                <w:sz w:val="20"/>
                <w:szCs w:val="20"/>
              </w:rPr>
              <w:tab/>
              <w:t>4</w:t>
            </w:r>
          </w:hyperlink>
        </w:p>
        <w:p w14:paraId="36B44208" w14:textId="77777777" w:rsidR="006628BA" w:rsidRDefault="006628BA">
          <w:pPr>
            <w:widowControl w:val="0"/>
            <w:tabs>
              <w:tab w:val="right" w:leader="dot" w:pos="12000"/>
            </w:tabs>
            <w:spacing w:before="60" w:after="0"/>
            <w:rPr>
              <w:color w:val="000000"/>
              <w:sz w:val="20"/>
              <w:szCs w:val="20"/>
            </w:rPr>
          </w:pPr>
          <w:hyperlink w:anchor="_heading=h.1ofm81oj0s3t">
            <w:r>
              <w:rPr>
                <w:color w:val="000000"/>
                <w:sz w:val="20"/>
                <w:szCs w:val="20"/>
              </w:rPr>
              <w:t>02. Harnessing Advanced Robotics</w:t>
            </w:r>
          </w:hyperlink>
          <w:hyperlink w:anchor="_heading=h.1ofm81oj0s3t">
            <w:r>
              <w:rPr>
                <w:rFonts w:ascii="Arial" w:eastAsia="Arial" w:hAnsi="Arial" w:cs="Arial"/>
                <w:color w:val="000000"/>
                <w:sz w:val="22"/>
                <w:szCs w:val="22"/>
              </w:rPr>
              <w:tab/>
            </w:r>
          </w:hyperlink>
          <w:r w:rsidR="00000000">
            <w:fldChar w:fldCharType="begin"/>
          </w:r>
          <w:r w:rsidR="00000000">
            <w:instrText xml:space="preserve"> PAGEREF _heading=h.1ofm81oj0s3t \h </w:instrText>
          </w:r>
          <w:r w:rsidR="00000000">
            <w:fldChar w:fldCharType="separate"/>
          </w:r>
          <w:r w:rsidR="00000000">
            <w:rPr>
              <w:color w:val="000000"/>
              <w:sz w:val="20"/>
              <w:szCs w:val="20"/>
            </w:rPr>
            <w:t>5</w:t>
          </w:r>
          <w:r w:rsidR="00000000">
            <w:fldChar w:fldCharType="end"/>
          </w:r>
        </w:p>
        <w:p w14:paraId="3C55EE2B" w14:textId="77777777" w:rsidR="006628BA" w:rsidRDefault="006628BA">
          <w:pPr>
            <w:widowControl w:val="0"/>
            <w:tabs>
              <w:tab w:val="right" w:leader="dot" w:pos="12000"/>
            </w:tabs>
            <w:spacing w:before="60" w:after="0"/>
            <w:rPr>
              <w:rFonts w:ascii="Arial" w:eastAsia="Arial" w:hAnsi="Arial" w:cs="Arial"/>
              <w:b/>
              <w:color w:val="000000"/>
              <w:sz w:val="22"/>
              <w:szCs w:val="22"/>
            </w:rPr>
          </w:pPr>
          <w:hyperlink w:anchor="_heading=h.3a2jimgw2kxk">
            <w:r>
              <w:rPr>
                <w:color w:val="000000"/>
                <w:sz w:val="20"/>
                <w:szCs w:val="20"/>
              </w:rPr>
              <w:t>03. Fostering Interoperability</w:t>
            </w:r>
            <w:r>
              <w:rPr>
                <w:color w:val="000000"/>
                <w:sz w:val="20"/>
                <w:szCs w:val="20"/>
              </w:rPr>
              <w:tab/>
              <w:t>6</w:t>
            </w:r>
          </w:hyperlink>
        </w:p>
        <w:p w14:paraId="479EC97A" w14:textId="77777777" w:rsidR="006628BA" w:rsidRDefault="006628BA">
          <w:pPr>
            <w:widowControl w:val="0"/>
            <w:tabs>
              <w:tab w:val="right" w:leader="dot" w:pos="12000"/>
            </w:tabs>
            <w:spacing w:before="60" w:after="0"/>
            <w:rPr>
              <w:rFonts w:ascii="Arial" w:eastAsia="Arial" w:hAnsi="Arial" w:cs="Arial"/>
              <w:b/>
              <w:color w:val="000000"/>
              <w:sz w:val="22"/>
              <w:szCs w:val="22"/>
            </w:rPr>
          </w:pPr>
          <w:hyperlink w:anchor="_heading=h.dhtccbbdol9i">
            <w:r>
              <w:rPr>
                <w:color w:val="000000"/>
                <w:sz w:val="20"/>
                <w:szCs w:val="20"/>
              </w:rPr>
              <w:t>04. Strengthening Cybersecurity for the Future</w:t>
            </w:r>
            <w:r>
              <w:rPr>
                <w:color w:val="000000"/>
                <w:sz w:val="20"/>
                <w:szCs w:val="20"/>
              </w:rPr>
              <w:tab/>
              <w:t>7</w:t>
            </w:r>
          </w:hyperlink>
        </w:p>
        <w:p w14:paraId="31A42FB4" w14:textId="77777777" w:rsidR="006628BA" w:rsidRDefault="006628BA">
          <w:pPr>
            <w:widowControl w:val="0"/>
            <w:tabs>
              <w:tab w:val="right" w:leader="dot" w:pos="12000"/>
            </w:tabs>
            <w:spacing w:before="60" w:after="0"/>
            <w:rPr>
              <w:rFonts w:ascii="Arial" w:eastAsia="Arial" w:hAnsi="Arial" w:cs="Arial"/>
              <w:b/>
              <w:color w:val="000000"/>
              <w:sz w:val="22"/>
              <w:szCs w:val="22"/>
            </w:rPr>
          </w:pPr>
          <w:hyperlink w:anchor="_heading=h.bjo5m4gvfoa9">
            <w:r>
              <w:rPr>
                <w:color w:val="000000"/>
                <w:sz w:val="20"/>
                <w:szCs w:val="20"/>
              </w:rPr>
              <w:t>05. Securing Connectivity in the 6G Era</w:t>
            </w:r>
            <w:r>
              <w:rPr>
                <w:color w:val="000000"/>
                <w:sz w:val="20"/>
                <w:szCs w:val="20"/>
              </w:rPr>
              <w:tab/>
              <w:t>8</w:t>
            </w:r>
          </w:hyperlink>
        </w:p>
        <w:p w14:paraId="02C6D2D4" w14:textId="77777777" w:rsidR="006628BA" w:rsidRDefault="006628BA">
          <w:pPr>
            <w:widowControl w:val="0"/>
            <w:tabs>
              <w:tab w:val="right" w:leader="dot" w:pos="12000"/>
            </w:tabs>
            <w:spacing w:before="60" w:after="0"/>
            <w:rPr>
              <w:rFonts w:ascii="Arial" w:eastAsia="Arial" w:hAnsi="Arial" w:cs="Arial"/>
              <w:b/>
              <w:color w:val="000000"/>
              <w:sz w:val="22"/>
              <w:szCs w:val="22"/>
            </w:rPr>
          </w:pPr>
          <w:hyperlink w:anchor="_heading=h.havow4wu2e3u">
            <w:r>
              <w:rPr>
                <w:color w:val="000000"/>
                <w:sz w:val="20"/>
                <w:szCs w:val="20"/>
              </w:rPr>
              <w:t>Bibliography</w:t>
            </w:r>
            <w:r>
              <w:rPr>
                <w:color w:val="000000"/>
                <w:sz w:val="20"/>
                <w:szCs w:val="20"/>
              </w:rPr>
              <w:tab/>
              <w:t>9</w:t>
            </w:r>
          </w:hyperlink>
          <w:r w:rsidR="00000000">
            <w:fldChar w:fldCharType="end"/>
          </w:r>
        </w:p>
      </w:sdtContent>
    </w:sdt>
    <w:p w14:paraId="2092B89A" w14:textId="77777777" w:rsidR="006628BA" w:rsidRDefault="006628BA">
      <w:pPr>
        <w:pStyle w:val="Heading1"/>
        <w:ind w:left="0" w:firstLine="0"/>
        <w:rPr>
          <w:color w:val="000000"/>
          <w:sz w:val="20"/>
          <w:szCs w:val="20"/>
        </w:rPr>
      </w:pPr>
      <w:bookmarkStart w:id="1" w:name="_heading=h.l5e5jlv4xh9a" w:colFirst="0" w:colLast="0"/>
      <w:bookmarkEnd w:id="1"/>
    </w:p>
    <w:p w14:paraId="37C0BE85" w14:textId="77777777" w:rsidR="006628BA" w:rsidRDefault="006628BA">
      <w:pPr>
        <w:rPr>
          <w:sz w:val="20"/>
          <w:szCs w:val="20"/>
        </w:rPr>
        <w:sectPr w:rsidR="006628BA">
          <w:headerReference w:type="default" r:id="rId8"/>
          <w:footerReference w:type="default" r:id="rId9"/>
          <w:pgSz w:w="12240" w:h="15840"/>
          <w:pgMar w:top="1440" w:right="1440" w:bottom="1440" w:left="1440" w:header="720" w:footer="720" w:gutter="0"/>
          <w:pgNumType w:start="1"/>
          <w:cols w:space="720"/>
        </w:sectPr>
      </w:pPr>
    </w:p>
    <w:p w14:paraId="7859C53C" w14:textId="77777777" w:rsidR="006628BA" w:rsidRDefault="00000000">
      <w:pPr>
        <w:pStyle w:val="Heading1"/>
        <w:ind w:left="0" w:firstLine="0"/>
        <w:rPr>
          <w:color w:val="000000"/>
          <w:sz w:val="20"/>
          <w:szCs w:val="20"/>
        </w:rPr>
      </w:pPr>
      <w:bookmarkStart w:id="2" w:name="_heading=h.ny12ybcvdqfi" w:colFirst="0" w:colLast="0"/>
      <w:bookmarkEnd w:id="2"/>
      <w:r>
        <w:rPr>
          <w:color w:val="000000"/>
          <w:sz w:val="20"/>
          <w:szCs w:val="20"/>
        </w:rPr>
        <w:lastRenderedPageBreak/>
        <w:t>Introduction</w:t>
      </w:r>
    </w:p>
    <w:p w14:paraId="26F09598" w14:textId="77777777" w:rsidR="006628BA" w:rsidRDefault="00000000">
      <w:pPr>
        <w:pStyle w:val="Heading2"/>
      </w:pPr>
      <w:bookmarkStart w:id="3" w:name="_heading=h.pfbgbz1vye1r" w:colFirst="0" w:colLast="0"/>
      <w:bookmarkEnd w:id="3"/>
      <w:r>
        <w:t>Technological Advancements at the Forefront of Digital Sovereignty</w:t>
      </w:r>
    </w:p>
    <w:p w14:paraId="76A7B95D" w14:textId="77777777" w:rsidR="006628BA" w:rsidRDefault="00000000">
      <w:r>
        <w:t>Today technology underpins Europe’s most vital infrastructure, and control over it has become a key source of geopolitical power. Nations leading in areas like semiconductors, cloud computing, and communication networks hold a significant strategic advantage in global competition. Europe remains reliant on foreign providers for its digital backbone, creating strategic vulnerabilities [1]. Digital sovereignty empowered by technological advancements is not a one-time achievement but a continuous process of building capabilities layer by layer. To preserve its sovereignty, Europe must continue to invest sustainably in critical technologies [2].</w:t>
      </w:r>
    </w:p>
    <w:p w14:paraId="1B7F1A20" w14:textId="77777777" w:rsidR="006628BA" w:rsidRDefault="00000000">
      <w:r>
        <w:t xml:space="preserve">Over two decades, Europe's share of the global tech, media, and telecom market capitalization fell from 30% to 7%, representing an 8T EUR missed opportunity [3]. Europe also lags behind the US and China in eight of ten critical technologies, including Artificial Intelligence (AI), platforms, chips, and advanced computing [4]. Yet the building blocks for improvement exist: world-class research, a growing deep-tech ecosystem, and a tradition of industrial excellence. The share of European investment in deep tech has risen from 10% to 19% of global funding within four years, with strong momentum in AI, quantum, and robotics [5]. If Europe is able to transform these assets into scalable industrial capabilities, it will have a rare opportunity to reset its innovation engine and establish leadership in the next wave of technologies [6]. </w:t>
      </w:r>
    </w:p>
    <w:p w14:paraId="761A0255" w14:textId="77777777" w:rsidR="006628BA" w:rsidRDefault="00000000">
      <w:r>
        <w:t>Five technological trends are particularly decisive for Europe’s sovereignty. A key pillar is edge computing, which brings processing closer to where data is generated, enabling real-time AI applications while keeping sensitive information under European control [7]. Building on this, advanced robotics translates digital intelligence into the physical world, boosting productivity, addressing labor shortages, and extending autonomy across industries [8]. For these infrastructures to interconnect, interoperability through open protocols is essential, allowing data and services to flow freely without dependence on dominant providers [9]. Moreover, advanced cybersecurity is necessary to protect critical data against evolving threats, including those posed by quantum computing [10]. Ultimately, 6G infrastructure will provide the future backbone, offering intelligent and secure connectivity that integrates people, devices, and industries on a global scale [11].</w:t>
      </w:r>
    </w:p>
    <w:p w14:paraId="5ED8665F" w14:textId="77777777" w:rsidR="006628BA" w:rsidRDefault="00000000">
      <w:pPr>
        <w:rPr>
          <w:b/>
        </w:rPr>
      </w:pPr>
      <w:r>
        <w:t xml:space="preserve">These trends share drivers of innovation, competitiveness, energy efficiency, and resilience, yet remain constrained by structural gaps. Europe leads in regulation and research but struggles to scale industrially. Dependencies on chips, batteries, and proprietary platforms persist across domains [12, 13]. Closing this "sovereignty gap" will require coordinated public-private investments, secure supply chains, and pan-European collaboration to ensure initiatives like Hexa-X, EuroQCI, or the Digital Decade Policy Program translate into lasting technological capabilities [1, 14, 15]. </w:t>
      </w:r>
    </w:p>
    <w:p w14:paraId="2EDC2F24" w14:textId="77777777" w:rsidR="006628BA" w:rsidRDefault="00000000">
      <w:r>
        <w:t>Looking forward, the trajectory of technological sovereignty will be determined by Europe’s ability to build and integrate these technologies into resilient ecosystems. If Europe can effectively scale edge computing, robotics, interoperability, cybersecurity, and 6G, it can move from being primarily a regulator and consumer to a builder of sovereign digital infrastructures. Failure to do so risks deeper dependencies at a time of growing geopolitical and economic uncertainty.</w:t>
      </w:r>
      <w:r>
        <w:br/>
      </w:r>
    </w:p>
    <w:p w14:paraId="50094FBE" w14:textId="77777777" w:rsidR="006628BA" w:rsidRDefault="00000000">
      <w:r>
        <w:br w:type="page"/>
      </w:r>
    </w:p>
    <w:p w14:paraId="104519CC" w14:textId="77777777" w:rsidR="006628BA" w:rsidRDefault="00000000">
      <w:pPr>
        <w:pStyle w:val="Heading1"/>
        <w:numPr>
          <w:ilvl w:val="0"/>
          <w:numId w:val="2"/>
        </w:numPr>
        <w:rPr>
          <w:b/>
        </w:rPr>
      </w:pPr>
      <w:bookmarkStart w:id="4" w:name="_heading=h.yx2pgsttbbeq" w:colFirst="0" w:colLast="0"/>
      <w:bookmarkEnd w:id="4"/>
      <w:r>
        <w:rPr>
          <w:b/>
        </w:rPr>
        <w:lastRenderedPageBreak/>
        <w:t>Leveraging Edge Computing</w:t>
      </w:r>
    </w:p>
    <w:p w14:paraId="45FB5E8E" w14:textId="77777777" w:rsidR="006628BA" w:rsidRDefault="00000000">
      <w:pPr>
        <w:pStyle w:val="Heading2"/>
      </w:pPr>
      <w:bookmarkStart w:id="5" w:name="_heading=h.axdvzqky31bf" w:colFirst="0" w:colLast="0"/>
      <w:bookmarkEnd w:id="5"/>
      <w:r>
        <w:t>Transforming the Internet of Things through European Edge Nodes</w:t>
      </w:r>
    </w:p>
    <w:p w14:paraId="5767574F" w14:textId="77777777" w:rsidR="006628BA" w:rsidRDefault="00000000">
      <w:pPr>
        <w:spacing w:before="240"/>
      </w:pPr>
      <w:r>
        <w:t>Edge computing (EC) is a distributed computing paradigm that moves computation closer to the data source, thereby reducing the need for large data transfers to centralized cloud servers. Edge nodes, which are computing devices located near the data generation, enable this shift. They range from small Internet of Things (IoT) sensors and gateways to local servers capable of on-site analysis. This is crucial for maintaining the local control of sensitive data in industries such as healthcare, mobility, or defense. Processing data locally also reduces latency. EC with AI at the edge makes it possible for autonomous systems, for example, defense drones, robotics, and smart grids, to operate reliably without constant cloud connection. These systems cannot rely on distant cloud servers, as they require instant decisions for safety and reliability [7]. Building on this, IoT and robotics are the primary beneficiaries, since they generate vast amounts of data and demand both fast processing and secure handling. Recognizing this potential, the European Commission is investing heavily in EC and IoT, viewing them as central to the digitization of the economy [16].</w:t>
      </w:r>
    </w:p>
    <w:p w14:paraId="328D56DB" w14:textId="77777777" w:rsidR="006628BA" w:rsidRDefault="00000000">
      <w:pPr>
        <w:spacing w:before="240"/>
      </w:pPr>
      <w:r>
        <w:rPr>
          <w:b/>
          <w:color w:val="024EA2"/>
        </w:rPr>
        <w:t>Facts</w:t>
      </w:r>
    </w:p>
    <w:p w14:paraId="7349CB46" w14:textId="77777777" w:rsidR="006628BA" w:rsidRDefault="00000000">
      <w:pPr>
        <w:numPr>
          <w:ilvl w:val="0"/>
          <w:numId w:val="7"/>
        </w:numPr>
        <w:spacing w:after="0"/>
      </w:pPr>
      <w:r>
        <w:t xml:space="preserve">Edge AI enhances technologies in autonomous vehicles, healthcare, industrial IoT, drones, and security systems [17]. </w:t>
      </w:r>
    </w:p>
    <w:p w14:paraId="710833B6" w14:textId="77777777" w:rsidR="006628BA" w:rsidRDefault="00000000">
      <w:pPr>
        <w:numPr>
          <w:ilvl w:val="0"/>
          <w:numId w:val="7"/>
        </w:numPr>
        <w:spacing w:after="0"/>
      </w:pPr>
      <w:r>
        <w:t>In 2024, 70.9% of EU citizens used IoT devices, indicating strong adoption potential, especially in consumer IoT [18].</w:t>
      </w:r>
    </w:p>
    <w:p w14:paraId="62B4D3E9" w14:textId="77777777" w:rsidR="006628BA" w:rsidRDefault="00000000">
      <w:pPr>
        <w:numPr>
          <w:ilvl w:val="0"/>
          <w:numId w:val="7"/>
        </w:numPr>
        <w:spacing w:after="0"/>
      </w:pPr>
      <w:r>
        <w:t>Integrating EC into hybrid cloud-edge architectures can cut energy use by 19–28% compared to centralized setups and can help to offset the growing energy demands of digital infrastructure [19].</w:t>
      </w:r>
    </w:p>
    <w:p w14:paraId="4E328928" w14:textId="77777777" w:rsidR="006628BA" w:rsidRDefault="00000000">
      <w:pPr>
        <w:numPr>
          <w:ilvl w:val="0"/>
          <w:numId w:val="7"/>
        </w:numPr>
      </w:pPr>
      <w:r>
        <w:t>Strategic European initiatives, such as 8ra, are pursuing a digital infrastructure that relies on multiple providers and edge nodes designed to counteract the dependency on American hyperscalers by building a hybrid cloud [20].</w:t>
      </w:r>
    </w:p>
    <w:p w14:paraId="03C49282" w14:textId="77777777" w:rsidR="006628BA" w:rsidRDefault="00000000">
      <w:pPr>
        <w:spacing w:before="240"/>
        <w:rPr>
          <w:b/>
          <w:color w:val="024EA2"/>
        </w:rPr>
      </w:pPr>
      <w:r>
        <w:rPr>
          <w:b/>
          <w:color w:val="024EA2"/>
        </w:rPr>
        <w:t>Key Drivers</w:t>
      </w:r>
    </w:p>
    <w:p w14:paraId="273549F0" w14:textId="77777777" w:rsidR="006628BA" w:rsidRDefault="00000000">
      <w:pPr>
        <w:numPr>
          <w:ilvl w:val="0"/>
          <w:numId w:val="7"/>
        </w:numPr>
        <w:spacing w:after="0"/>
      </w:pPr>
      <w:r>
        <w:t>EC is projected to grow from 564.6B USD in 2025 to over 5T USD by 2034 with a Compound Annual Growth Rate (CAGR) of 28%. Industrial IoT, which accounts for over 33% of market revenue, is a major driver of this growth [21].</w:t>
      </w:r>
    </w:p>
    <w:p w14:paraId="42624551" w14:textId="77777777" w:rsidR="006628BA" w:rsidRDefault="00000000">
      <w:pPr>
        <w:numPr>
          <w:ilvl w:val="0"/>
          <w:numId w:val="7"/>
        </w:numPr>
        <w:spacing w:after="0"/>
      </w:pPr>
      <w:r>
        <w:t>The EU has committed to deploying 10,000 climate-neutral, highly secure edge nodes by 2030 under the Digital Decade Policy Programme [22].</w:t>
      </w:r>
    </w:p>
    <w:p w14:paraId="4F0A190E" w14:textId="77777777" w:rsidR="006628BA" w:rsidRDefault="00000000">
      <w:pPr>
        <w:numPr>
          <w:ilvl w:val="0"/>
          <w:numId w:val="7"/>
        </w:numPr>
      </w:pPr>
      <w:r>
        <w:t>Open IoT standards such as Message Queuing Telemetry Transport (MQTT) and European open-source frameworks like FIWARE make IoT easier by reducing integration complexity and by supporting deployments that are secure, scalable, and adaptable [23].</w:t>
      </w:r>
    </w:p>
    <w:p w14:paraId="517005C0" w14:textId="77777777" w:rsidR="006628BA" w:rsidRDefault="00000000">
      <w:pPr>
        <w:spacing w:before="240"/>
        <w:rPr>
          <w:b/>
          <w:color w:val="024EA2"/>
        </w:rPr>
      </w:pPr>
      <w:r>
        <w:rPr>
          <w:b/>
          <w:color w:val="024EA2"/>
        </w:rPr>
        <w:t>Challenges</w:t>
      </w:r>
    </w:p>
    <w:p w14:paraId="51998485" w14:textId="77777777" w:rsidR="006628BA" w:rsidRDefault="00000000">
      <w:pPr>
        <w:numPr>
          <w:ilvl w:val="0"/>
          <w:numId w:val="7"/>
        </w:numPr>
        <w:spacing w:after="0"/>
      </w:pPr>
      <w:r>
        <w:t>Non-European computing services and AI models dominate the European market [1]. Achieving independence throughout the value chain of edge AI, requires either relying on less advanced open-source models or investing heavily in proprietary models [24].</w:t>
      </w:r>
    </w:p>
    <w:p w14:paraId="097DC021" w14:textId="77777777" w:rsidR="006628BA" w:rsidRDefault="00000000">
      <w:pPr>
        <w:numPr>
          <w:ilvl w:val="0"/>
          <w:numId w:val="7"/>
        </w:numPr>
      </w:pPr>
      <w:r>
        <w:t>Edge devices have limited computing power and strict low-latency requirements. Current cloud orchestration frameworks, such as Kubernetes, were designed for centralized data centers and do not meet the criteria for efficient task scheduling, workload distribution, and resource management in highly distributed edge environments [25].</w:t>
      </w:r>
    </w:p>
    <w:p w14:paraId="3840755A" w14:textId="77777777" w:rsidR="006628BA" w:rsidRDefault="00000000">
      <w:pPr>
        <w:pStyle w:val="Heading3"/>
      </w:pPr>
      <w:bookmarkStart w:id="6" w:name="_heading=h.dntsga4yniuj" w:colFirst="0" w:colLast="0"/>
      <w:bookmarkEnd w:id="6"/>
      <w:r>
        <w:t>Impact on European Digital Sovereignty</w:t>
      </w:r>
    </w:p>
    <w:p w14:paraId="1BE2BC7D" w14:textId="77777777" w:rsidR="006628BA" w:rsidRDefault="00000000">
      <w:pPr>
        <w:spacing w:before="280" w:after="80"/>
      </w:pPr>
      <w:r>
        <w:t>The European Commission acknowledges that ensuring Europe’s digital autonomy in information and communication technologies (ICT) requires strong computing capacity [16]. Many data-intensive applications, including Extended Reality and Digital Twins, rely on EC and benefit from local control over sensitive industrial and consumer data [7]. Looking ahead, many technological trends, including AI-powered robotics and drones, will depend on the capabilities of edge infrastructure. As EC matures, it will become an essential pillar of Europe’s digital sovereignty, transforming entire industries by enabling more intelligent factories, autonomous mobility systems, and a more digital society.</w:t>
      </w:r>
    </w:p>
    <w:p w14:paraId="6465C320" w14:textId="77777777" w:rsidR="006628BA" w:rsidRDefault="00000000">
      <w:pPr>
        <w:pStyle w:val="Heading1"/>
        <w:numPr>
          <w:ilvl w:val="0"/>
          <w:numId w:val="2"/>
        </w:numPr>
      </w:pPr>
      <w:bookmarkStart w:id="7" w:name="_heading=h.1ofm81oj0s3t" w:colFirst="0" w:colLast="0"/>
      <w:bookmarkEnd w:id="7"/>
      <w:r>
        <w:t>Harnessing Advanced Robotics</w:t>
      </w:r>
    </w:p>
    <w:p w14:paraId="2EFB99EA" w14:textId="77777777" w:rsidR="006628BA" w:rsidRDefault="00000000">
      <w:pPr>
        <w:pStyle w:val="Heading2"/>
      </w:pPr>
      <w:bookmarkStart w:id="8" w:name="_heading=h.rdp44pqkcgoy" w:colFirst="0" w:colLast="0"/>
      <w:bookmarkEnd w:id="8"/>
      <w:r>
        <w:t>Driving Productivity with AI-Powered Robots for Novel Applications</w:t>
      </w:r>
    </w:p>
    <w:p w14:paraId="054C6015" w14:textId="77777777" w:rsidR="006628BA" w:rsidRDefault="00000000">
      <w:pPr>
        <w:spacing w:before="240"/>
      </w:pPr>
      <w:r>
        <w:t xml:space="preserve">The integration of AI and robotics is reshaping economies. Advanced robotics combines AI and Machine Learning (ML) methods such as computer vision, reinforcement learning, and large language models (LLMs) with robotic systems to perform tasks with greater precision, adaptability, and autonomy compared to traditional robots [26]. The global operational stock of industrial robots has been growing at an </w:t>
      </w:r>
      <w:r>
        <w:lastRenderedPageBreak/>
        <w:t>average annual rate of 12%. In 2023, Europe held a share of ~18%, ranking second after China [8]. With this intelligence, robotic applications are rapidly expanding beyond manufacturing [26]. Robots boost productivity and create safer workplaces by collaborating seamlessly with humans through advanced sensing and safety features [27]. Autonomous mobile robots operate independently in dynamic environments, optimizing logistics and material handling with minimal oversight. Furthermore, humanoid robots, equipped with sensors and cognitive abilities, can converse and assist with daily, repetitive tasks [28].</w:t>
      </w:r>
    </w:p>
    <w:p w14:paraId="5E0EB056" w14:textId="77777777" w:rsidR="006628BA" w:rsidRDefault="00000000">
      <w:pPr>
        <w:pStyle w:val="Heading3"/>
      </w:pPr>
      <w:bookmarkStart w:id="9" w:name="_heading=h.tac4rz7wgwgk" w:colFirst="0" w:colLast="0"/>
      <w:bookmarkEnd w:id="9"/>
      <w:r>
        <w:t>Facts</w:t>
      </w:r>
    </w:p>
    <w:p w14:paraId="748FC19C" w14:textId="77777777" w:rsidR="006628BA" w:rsidRDefault="00000000">
      <w:pPr>
        <w:numPr>
          <w:ilvl w:val="0"/>
          <w:numId w:val="1"/>
        </w:numPr>
        <w:spacing w:after="0"/>
      </w:pPr>
      <w:r>
        <w:t>Robots are becoming smarter and are increasingly used outside traditional manufacturing, with usage growing by 20–35% annually in logistics, hospitality, and agriculture [26].</w:t>
      </w:r>
    </w:p>
    <w:p w14:paraId="4A036CDD" w14:textId="77777777" w:rsidR="006628BA" w:rsidRDefault="00000000">
      <w:pPr>
        <w:numPr>
          <w:ilvl w:val="0"/>
          <w:numId w:val="1"/>
        </w:numPr>
        <w:spacing w:after="0"/>
      </w:pPr>
      <w:r>
        <w:t>Chinese companies predominantly manufacture the necessary hardware for intelligent robots. In contrast, the production of advanced AI chips that enable their capabilities is dominated by US companies and Taiwanese manufacturers [13].</w:t>
      </w:r>
    </w:p>
    <w:p w14:paraId="00744968" w14:textId="77777777" w:rsidR="006628BA" w:rsidRDefault="00000000">
      <w:pPr>
        <w:numPr>
          <w:ilvl w:val="0"/>
          <w:numId w:val="1"/>
        </w:numPr>
      </w:pPr>
      <w:r>
        <w:t>Neural processing units (NPUs) are experiencing growing adoption for running AI predictions in robotic edge devices. They are being integrated more closely into chip processors, with the market size projected to grow at a CAGR of 18.95% from 2025 to 2033 [29].</w:t>
      </w:r>
    </w:p>
    <w:p w14:paraId="0830DC92" w14:textId="77777777" w:rsidR="006628BA" w:rsidRDefault="00000000">
      <w:pPr>
        <w:pStyle w:val="Heading3"/>
        <w:pBdr>
          <w:top w:val="none" w:sz="0" w:space="0" w:color="000000"/>
          <w:left w:val="none" w:sz="0" w:space="0" w:color="000000"/>
          <w:bottom w:val="none" w:sz="0" w:space="0" w:color="000000"/>
          <w:right w:val="none" w:sz="0" w:space="0" w:color="000000"/>
          <w:between w:val="none" w:sz="0" w:space="0" w:color="000000"/>
        </w:pBdr>
        <w:jc w:val="both"/>
      </w:pPr>
      <w:bookmarkStart w:id="10" w:name="_heading=h.zcz7c36r8nhv" w:colFirst="0" w:colLast="0"/>
      <w:bookmarkEnd w:id="10"/>
      <w:r>
        <w:t>Key Drivers</w:t>
      </w:r>
    </w:p>
    <w:p w14:paraId="558A92F3" w14:textId="77777777" w:rsidR="006628BA" w:rsidRDefault="00000000">
      <w:pPr>
        <w:numPr>
          <w:ilvl w:val="0"/>
          <w:numId w:val="1"/>
        </w:numPr>
        <w:spacing w:after="0"/>
      </w:pPr>
      <w:r>
        <w:t xml:space="preserve">Over the last 30 years, labor costs in the EU have increased by 40%, while labor shortages have emerged. At the same time, production costs incurred by robots have declined by 20%, making the technology more accessible and economically viable [30]. </w:t>
      </w:r>
    </w:p>
    <w:p w14:paraId="40344550" w14:textId="77777777" w:rsidR="006628BA" w:rsidRDefault="00000000">
      <w:pPr>
        <w:numPr>
          <w:ilvl w:val="0"/>
          <w:numId w:val="1"/>
        </w:numPr>
        <w:spacing w:after="0"/>
      </w:pPr>
      <w:r>
        <w:t>AI and ML methods enable robots to perceive environments more effectively, perform smarter, adaptive tasks, and facilitate more natural human-robot interaction [31].</w:t>
      </w:r>
    </w:p>
    <w:p w14:paraId="3053E5CE" w14:textId="77777777" w:rsidR="006628BA" w:rsidRDefault="00000000">
      <w:pPr>
        <w:numPr>
          <w:ilvl w:val="0"/>
          <w:numId w:val="1"/>
        </w:numPr>
      </w:pPr>
      <w:r>
        <w:t>NPUs excel in specific neural network tasks while providing lower latency and power consumption. This is a critical advantage for robotics, where decisions must be made in real time and devices often run on battery power [32].</w:t>
      </w:r>
    </w:p>
    <w:p w14:paraId="1DA3DE37" w14:textId="77777777" w:rsidR="006628BA" w:rsidRDefault="00000000">
      <w:pPr>
        <w:pStyle w:val="Heading3"/>
      </w:pPr>
      <w:bookmarkStart w:id="11" w:name="_heading=h.4pirfkfd7ke1" w:colFirst="0" w:colLast="0"/>
      <w:bookmarkEnd w:id="11"/>
      <w:r>
        <w:t>Challenges</w:t>
      </w:r>
    </w:p>
    <w:p w14:paraId="3290974F" w14:textId="70200D07" w:rsidR="006628BA" w:rsidRDefault="00000000">
      <w:pPr>
        <w:numPr>
          <w:ilvl w:val="0"/>
          <w:numId w:val="1"/>
        </w:numPr>
        <w:spacing w:after="0"/>
      </w:pPr>
      <w:r>
        <w:t xml:space="preserve">There is insufficient data to train foundational models to perform complex tasks and perform reliably on novel situations </w:t>
      </w:r>
      <w:r w:rsidR="00A65869">
        <w:t>[</w:t>
      </w:r>
      <w:r>
        <w:t>26]. While this is partially addressed by supplementing synthetic simulation data, the transfer to the real world remains challenging [33].</w:t>
      </w:r>
    </w:p>
    <w:p w14:paraId="7009756F" w14:textId="77777777" w:rsidR="006628BA" w:rsidRDefault="00000000">
      <w:pPr>
        <w:numPr>
          <w:ilvl w:val="0"/>
          <w:numId w:val="1"/>
        </w:numPr>
        <w:spacing w:after="0"/>
      </w:pPr>
      <w:r>
        <w:t>The complete automation of robots as AI agents using visual-language-action (VLA) models remains unreliable compared to logic-based programming, which prevents them from being deployed safely in unpredictable real-world situations [34].</w:t>
      </w:r>
    </w:p>
    <w:p w14:paraId="35EB04F5" w14:textId="77777777" w:rsidR="006628BA" w:rsidRDefault="00000000">
      <w:pPr>
        <w:numPr>
          <w:ilvl w:val="0"/>
          <w:numId w:val="1"/>
        </w:numPr>
      </w:pPr>
      <w:r>
        <w:t>Mobile robotic platforms face hardware limitations, which limit their operation duration or ability to perform more complex computations for complicated tasks [35, 36].</w:t>
      </w:r>
    </w:p>
    <w:p w14:paraId="1429F88F" w14:textId="77777777" w:rsidR="006628BA" w:rsidRDefault="00000000">
      <w:pPr>
        <w:pStyle w:val="Heading3"/>
        <w:keepNext w:val="0"/>
        <w:keepLines w:val="0"/>
        <w:spacing w:before="280" w:after="80" w:line="312" w:lineRule="auto"/>
      </w:pPr>
      <w:bookmarkStart w:id="12" w:name="_heading=h.bygvx1tmrpdv" w:colFirst="0" w:colLast="0"/>
      <w:bookmarkEnd w:id="12"/>
      <w:r>
        <w:t>Impact on European Digital Sovereignty</w:t>
      </w:r>
    </w:p>
    <w:p w14:paraId="2931395A" w14:textId="77777777" w:rsidR="006628BA" w:rsidRDefault="00000000">
      <w:pPr>
        <w:spacing w:before="280" w:after="80"/>
      </w:pPr>
      <w:r>
        <w:t>The adoption of advanced robotics is central to Europe’s industrial competitiveness and labour shortage problem. Still, the continent’s reliance on non-European suppliers for critical hardware and proprietary data generation software creates strategic vulnerabilities. This reliance risks limiting Europe’s autonomy in scaling advanced robotics across industries. Strengthening domestic production capabilities and fostering innovation and collaboration in the components mentioned, including key technologies such as NPUs, will therefore be crucial to ensuring that Europe not only benefits from robotics-driven productivity gains but also preserves its technological sovereignty in an increasingly volatile global economy.</w:t>
      </w:r>
      <w:r>
        <w:br w:type="page"/>
      </w:r>
    </w:p>
    <w:p w14:paraId="6071FC66" w14:textId="77777777" w:rsidR="006628BA" w:rsidRDefault="00000000">
      <w:pPr>
        <w:pStyle w:val="Heading1"/>
        <w:numPr>
          <w:ilvl w:val="0"/>
          <w:numId w:val="2"/>
        </w:numPr>
      </w:pPr>
      <w:bookmarkStart w:id="13" w:name="_heading=h.3a2jimgw2kxk" w:colFirst="0" w:colLast="0"/>
      <w:bookmarkEnd w:id="13"/>
      <w:r>
        <w:lastRenderedPageBreak/>
        <w:t>Fostering Interoperability</w:t>
      </w:r>
    </w:p>
    <w:p w14:paraId="0FECB292" w14:textId="77777777" w:rsidR="006628BA" w:rsidRDefault="00000000">
      <w:pPr>
        <w:pStyle w:val="Heading3"/>
        <w:keepNext w:val="0"/>
        <w:keepLines w:val="0"/>
        <w:spacing w:before="280" w:after="80" w:line="312" w:lineRule="auto"/>
        <w:rPr>
          <w:color w:val="3C3F42"/>
          <w:sz w:val="26"/>
          <w:szCs w:val="26"/>
        </w:rPr>
      </w:pPr>
      <w:bookmarkStart w:id="14" w:name="_heading=h.mnl4j6z6jr6m" w:colFirst="0" w:colLast="0"/>
      <w:bookmarkEnd w:id="14"/>
      <w:r>
        <w:rPr>
          <w:b w:val="0"/>
          <w:color w:val="3C3F42"/>
          <w:sz w:val="18"/>
          <w:szCs w:val="18"/>
        </w:rPr>
        <w:t>Creating a Sovereign Digital Ecosystem through Software Interoperability</w:t>
      </w:r>
    </w:p>
    <w:p w14:paraId="068B3288" w14:textId="77777777" w:rsidR="006628BA" w:rsidRDefault="00000000">
      <w:r>
        <w:t>The European Union is striving to strengthen digital interoperability by leveraging open source solutions to dismantle proprietary silos, which create closed ecosystems that trap user data and limit competition [37]. While interoperability can be fostered through closed-source methods, such exclusive approaches allow only limited connections and often maintain dependence on a single vendor’s infrastructure. By contrast, open protocols and open-source reference implementations allow any provider to adopt and extend the standard, creating a level playing field where users can switch providers without losing access to their data or functionality. This lowers switching costs, prevents market lock-in, and encourages competition based on service quality rather than ecosystem control. The EU’s focus on interoperability is therefore not merely technical but strategic: it is a deliberate response to the market dominance of large technology companies, designed to redistribute power, stimulate innovation, and make the European digital ecosystem more resilient [37].</w:t>
      </w:r>
    </w:p>
    <w:p w14:paraId="251E3452" w14:textId="77777777" w:rsidR="006628BA" w:rsidRDefault="00000000">
      <w:pPr>
        <w:pStyle w:val="Heading3"/>
        <w:keepNext w:val="0"/>
        <w:keepLines w:val="0"/>
        <w:spacing w:before="280" w:after="80" w:line="312" w:lineRule="auto"/>
      </w:pPr>
      <w:bookmarkStart w:id="15" w:name="_heading=h.iuvb2yxbsimv" w:colFirst="0" w:colLast="0"/>
      <w:bookmarkEnd w:id="15"/>
      <w:r>
        <w:t>Facts</w:t>
      </w:r>
    </w:p>
    <w:p w14:paraId="12C9E803" w14:textId="77777777" w:rsidR="006628BA" w:rsidRDefault="00000000">
      <w:pPr>
        <w:numPr>
          <w:ilvl w:val="0"/>
          <w:numId w:val="5"/>
        </w:numPr>
        <w:spacing w:before="240" w:after="0"/>
      </w:pPr>
      <w:r>
        <w:t>Companies estimate that their software costs would be 3.5 times higher if open-source alternatives were not available [38].</w:t>
      </w:r>
    </w:p>
    <w:p w14:paraId="66D673BC" w14:textId="77777777" w:rsidR="006628BA" w:rsidRDefault="00000000">
      <w:pPr>
        <w:numPr>
          <w:ilvl w:val="0"/>
          <w:numId w:val="5"/>
        </w:numPr>
        <w:spacing w:after="0"/>
      </w:pPr>
      <w:r>
        <w:t>The global open-source software (OSS) market, a key driver of interoperability, was estimated at 25.03B USD in 2022 and is projected to reach 83.87B USD by 2030, growing at a CAGR of 16.9% through 2030 [39].</w:t>
      </w:r>
    </w:p>
    <w:p w14:paraId="4C22D96C" w14:textId="77777777" w:rsidR="006628BA" w:rsidRDefault="00000000">
      <w:pPr>
        <w:numPr>
          <w:ilvl w:val="0"/>
          <w:numId w:val="5"/>
        </w:numPr>
        <w:spacing w:after="0"/>
      </w:pPr>
      <w:r>
        <w:t>The global Application Programming Interface (API) management market is projected to grow from 8.86B USD in 2025 to 19.28B USD by 2030, at a CAGR of 16.8%, reflecting the shift in enterprise solutions [40].</w:t>
      </w:r>
    </w:p>
    <w:p w14:paraId="6FFBF42D" w14:textId="77777777" w:rsidR="006628BA" w:rsidRDefault="00000000">
      <w:pPr>
        <w:numPr>
          <w:ilvl w:val="0"/>
          <w:numId w:val="5"/>
        </w:numPr>
        <w:spacing w:after="0"/>
      </w:pPr>
      <w:r>
        <w:t>Public investment in open-source infrastructure is rising. Germany established a Sovereign Tech Fund in 2022 with a budget of 17M EUR to support critical open-source projects [41].</w:t>
      </w:r>
    </w:p>
    <w:p w14:paraId="2FD34A6D" w14:textId="77777777" w:rsidR="006628BA" w:rsidRDefault="00000000">
      <w:pPr>
        <w:pStyle w:val="Heading3"/>
        <w:keepNext w:val="0"/>
        <w:keepLines w:val="0"/>
        <w:spacing w:before="280" w:after="80" w:line="312" w:lineRule="auto"/>
      </w:pPr>
      <w:bookmarkStart w:id="16" w:name="_heading=h.6kd14ss6q6iu" w:colFirst="0" w:colLast="0"/>
      <w:bookmarkEnd w:id="16"/>
      <w:r>
        <w:t>Key Drivers</w:t>
      </w:r>
    </w:p>
    <w:p w14:paraId="57DAF69C" w14:textId="77777777" w:rsidR="006628BA" w:rsidRDefault="00000000">
      <w:pPr>
        <w:numPr>
          <w:ilvl w:val="0"/>
          <w:numId w:val="8"/>
        </w:numPr>
        <w:spacing w:after="0"/>
      </w:pPr>
      <w:r>
        <w:t>The success of open solutions is demonstrated internationally by initiatives such as India’s Unified Payments Interface (UPI), which utilizes an open protocol to facilitate instant, direct bank-to-bank payments across various applications [42].</w:t>
      </w:r>
    </w:p>
    <w:p w14:paraId="0633B5A9" w14:textId="77777777" w:rsidR="006628BA" w:rsidRDefault="00000000">
      <w:pPr>
        <w:numPr>
          <w:ilvl w:val="0"/>
          <w:numId w:val="8"/>
        </w:numPr>
        <w:spacing w:after="0"/>
      </w:pPr>
      <w:r>
        <w:t>Cost savings and simplified service integration are driving industrial adoption of OSS, with OSS constituting 70-80% of any given piece of modern software [43].</w:t>
      </w:r>
    </w:p>
    <w:p w14:paraId="08CCD8F5" w14:textId="77777777" w:rsidR="006628BA" w:rsidRDefault="00000000">
      <w:pPr>
        <w:numPr>
          <w:ilvl w:val="0"/>
          <w:numId w:val="8"/>
        </w:numPr>
        <w:spacing w:after="0"/>
      </w:pPr>
      <w:r>
        <w:t>Institutional support for OSS is growing in Europe. The European Data Protection Supervisor has launched pilot projects using decentralized alternatives to centralized platforms, such as Mastodon and PeerTube, to enable users to freely move their data and identity [44].</w:t>
      </w:r>
    </w:p>
    <w:p w14:paraId="35ABEA33" w14:textId="77777777" w:rsidR="006628BA" w:rsidRDefault="00000000">
      <w:pPr>
        <w:pStyle w:val="Heading3"/>
        <w:keepNext w:val="0"/>
        <w:keepLines w:val="0"/>
        <w:spacing w:before="280" w:after="80" w:line="312" w:lineRule="auto"/>
      </w:pPr>
      <w:bookmarkStart w:id="17" w:name="_heading=h.8w7knzqmt7o4" w:colFirst="0" w:colLast="0"/>
      <w:bookmarkEnd w:id="17"/>
      <w:r>
        <w:t>Challenges</w:t>
      </w:r>
    </w:p>
    <w:p w14:paraId="1F446D0A" w14:textId="77777777" w:rsidR="006628BA" w:rsidRDefault="00000000">
      <w:pPr>
        <w:numPr>
          <w:ilvl w:val="0"/>
          <w:numId w:val="8"/>
        </w:numPr>
        <w:spacing w:before="240" w:after="0"/>
      </w:pPr>
      <w:r>
        <w:t>Established platforms benefit from strong network effects, which make it difficult for new interoperable alternatives to gain traction. The scale of this is clearly reflected in the user numbers, as e.g., Mastodon has about 255,000 monthly active users, while Instagram has over 2B [45, 46].</w:t>
      </w:r>
    </w:p>
    <w:p w14:paraId="1F17C930" w14:textId="77777777" w:rsidR="006628BA" w:rsidRDefault="00000000">
      <w:pPr>
        <w:numPr>
          <w:ilvl w:val="0"/>
          <w:numId w:val="8"/>
        </w:numPr>
        <w:spacing w:after="0"/>
      </w:pPr>
      <w:r>
        <w:t>Organizations resist sharing their data openly due to concerns about power and control, fearing a loss of strategic advantage. This resistance reinforces data lock-in and slows the adoption of interoperable solutions [47].</w:t>
      </w:r>
    </w:p>
    <w:p w14:paraId="6E8E04E3" w14:textId="77777777" w:rsidR="006628BA" w:rsidRDefault="00000000">
      <w:pPr>
        <w:numPr>
          <w:ilvl w:val="0"/>
          <w:numId w:val="8"/>
        </w:numPr>
      </w:pPr>
      <w:r>
        <w:t>Content moderation and data security are difficult to implement consistently across interoperable networks. Addressing these issues requires new governance and funding models [48].</w:t>
      </w:r>
    </w:p>
    <w:p w14:paraId="595E591F" w14:textId="77777777" w:rsidR="006628BA" w:rsidRDefault="00000000">
      <w:pPr>
        <w:pStyle w:val="Heading3"/>
        <w:keepNext w:val="0"/>
        <w:keepLines w:val="0"/>
        <w:spacing w:before="280" w:after="80" w:line="312" w:lineRule="auto"/>
        <w:rPr>
          <w:color w:val="3C3F42"/>
          <w:sz w:val="26"/>
          <w:szCs w:val="26"/>
        </w:rPr>
      </w:pPr>
      <w:bookmarkStart w:id="18" w:name="_heading=h.5o0old2f1rp7" w:colFirst="0" w:colLast="0"/>
      <w:bookmarkEnd w:id="18"/>
      <w:r>
        <w:t>Impact on European Digital Sovereignty</w:t>
      </w:r>
    </w:p>
    <w:p w14:paraId="138DE03E" w14:textId="77777777" w:rsidR="006628BA" w:rsidRDefault="00000000">
      <w:r>
        <w:t>Interoperability enabled by open solutions strengthens the EU’s digital sovereignty by lowering entry barriers, fostering innovation among European companies, and reducing the market power of dominant technology platforms [9, 47]. It provides users with greater control by enabling seamless data portability between services, preventing vendor lock-in, and upholding the principles of the General Data Protection Regulation (GDPR) [37]. Europe will only achieve true digital sovereignty if it actively develops the capabilities, platforms, and infrastructures that are enabled by open protocols and interoperability [2].</w:t>
      </w:r>
    </w:p>
    <w:p w14:paraId="44E0662B" w14:textId="77777777" w:rsidR="006628BA" w:rsidRDefault="00000000">
      <w:r>
        <w:br w:type="page"/>
      </w:r>
    </w:p>
    <w:p w14:paraId="6FBC4993" w14:textId="77777777" w:rsidR="006628BA" w:rsidRDefault="00000000">
      <w:pPr>
        <w:pStyle w:val="Heading1"/>
        <w:numPr>
          <w:ilvl w:val="0"/>
          <w:numId w:val="2"/>
        </w:numPr>
      </w:pPr>
      <w:bookmarkStart w:id="19" w:name="_heading=h.dhtccbbdol9i" w:colFirst="0" w:colLast="0"/>
      <w:bookmarkEnd w:id="19"/>
      <w:r>
        <w:lastRenderedPageBreak/>
        <w:t>Strengthening Cybersecurity for the Future</w:t>
      </w:r>
    </w:p>
    <w:p w14:paraId="255F70F5" w14:textId="77777777" w:rsidR="006628BA" w:rsidRDefault="00000000">
      <w:pPr>
        <w:pStyle w:val="Heading2"/>
      </w:pPr>
      <w:bookmarkStart w:id="20" w:name="_heading=h.f3d395mijw4p" w:colFirst="0" w:colLast="0"/>
      <w:bookmarkEnd w:id="20"/>
      <w:r>
        <w:t>Ensuring Long-Term Data Resilience through Implementation of Post-Quantum Security</w:t>
      </w:r>
    </w:p>
    <w:p w14:paraId="597D37B3" w14:textId="23605361" w:rsidR="006628BA" w:rsidRDefault="00000000">
      <w:r>
        <w:t>As quantum computing advances, many of today’s widely used cryptographic methods will eventually become obsolete. This development poses a risk, particularly in sectors that handle sensitive data, such as finance, defense, and healthcare. In 2023, the latter experienced a significant increase in Distributed Denial-of-Service (DDoS) attacks, which attempt to overwhelm networks with high traffic, resulting in nearly 100 attacks per day [49]. To counter this, Europe is investing heavily in long-term cyber resilience. The EuroQCI project aims to establish a quantum-secure communication network across all EU member states by 2027, utilizing fiber cables and satellites to distribute encryption keys, thereby enhancing security. [15]. Meanwhile, organizations are preparing to adopt post-quantum standards [10], with policymakers stressing the need for agility in cybersecurity, ensuring that systems can transition smoothly as new protections emerge [10</w:t>
      </w:r>
      <w:r w:rsidR="002655EE">
        <w:t>][</w:t>
      </w:r>
      <w:r>
        <w:t>50]. To ensure Europe’s data remains secure in the long term, it is crucial to begin developing and implementing post-quantum technologies today [10].</w:t>
      </w:r>
    </w:p>
    <w:p w14:paraId="33CEBFEB" w14:textId="77777777" w:rsidR="006628BA" w:rsidRDefault="00000000">
      <w:pPr>
        <w:pStyle w:val="Heading3"/>
      </w:pPr>
      <w:bookmarkStart w:id="21" w:name="_heading=h.5rv4jsirt18t" w:colFirst="0" w:colLast="0"/>
      <w:bookmarkEnd w:id="21"/>
      <w:r>
        <w:t xml:space="preserve">Facts </w:t>
      </w:r>
    </w:p>
    <w:p w14:paraId="1DA577CF" w14:textId="77777777" w:rsidR="006628BA" w:rsidRDefault="00000000">
      <w:pPr>
        <w:numPr>
          <w:ilvl w:val="0"/>
          <w:numId w:val="10"/>
        </w:numPr>
        <w:spacing w:after="0"/>
      </w:pPr>
      <w:r>
        <w:t>​​The European post-quantum cryptography market was valued at 162.8M USD in 2024 and is expected to grow annually by 42.16%, reaching 5.5B USD by 2034 [51].</w:t>
      </w:r>
    </w:p>
    <w:p w14:paraId="6FF20714" w14:textId="77777777" w:rsidR="006628BA" w:rsidRDefault="00000000">
      <w:pPr>
        <w:numPr>
          <w:ilvl w:val="0"/>
          <w:numId w:val="10"/>
        </w:numPr>
        <w:spacing w:after="0"/>
      </w:pPr>
      <w:r>
        <w:t>Global cyberattacks increased by 21% year-over-year from 2024 to 2025 [52].</w:t>
      </w:r>
    </w:p>
    <w:p w14:paraId="33068406" w14:textId="77777777" w:rsidR="006628BA" w:rsidRDefault="00000000">
      <w:pPr>
        <w:numPr>
          <w:ilvl w:val="0"/>
          <w:numId w:val="10"/>
        </w:numPr>
        <w:spacing w:after="0"/>
      </w:pPr>
      <w:r>
        <w:t>The healthcare sector experienced a surge in attacks in 2023, with nearly 100 attacks per day, exposing it as one of the most vulnerable sectors [49].</w:t>
      </w:r>
    </w:p>
    <w:p w14:paraId="1C03BA77" w14:textId="77777777" w:rsidR="006628BA" w:rsidRDefault="00000000">
      <w:pPr>
        <w:numPr>
          <w:ilvl w:val="0"/>
          <w:numId w:val="10"/>
        </w:numPr>
      </w:pPr>
      <w:r>
        <w:t>Quantum computers could potentially break standard encryption methods, such as Rivest-Shamir-Adleman (RSA) and Elliptic Curve Cryptography (ECC), which rely on mathematical complexity for secure key exchange [53].</w:t>
      </w:r>
    </w:p>
    <w:p w14:paraId="56152A5D" w14:textId="77777777" w:rsidR="006628BA" w:rsidRDefault="00000000">
      <w:pPr>
        <w:pStyle w:val="Heading3"/>
      </w:pPr>
      <w:bookmarkStart w:id="22" w:name="_heading=h.otr0uxy1yc1r" w:colFirst="0" w:colLast="0"/>
      <w:bookmarkEnd w:id="22"/>
      <w:r>
        <w:t xml:space="preserve">Key Drivers </w:t>
      </w:r>
    </w:p>
    <w:p w14:paraId="05072867" w14:textId="77777777" w:rsidR="006628BA" w:rsidRDefault="00000000">
      <w:pPr>
        <w:numPr>
          <w:ilvl w:val="0"/>
          <w:numId w:val="6"/>
        </w:numPr>
        <w:spacing w:after="0"/>
      </w:pPr>
      <w:r>
        <w:t>​​The Network and Information Security Directive (NIS) 1 and 2 are EU-wide regulations designed to strengthen cybersecurity across critical sectors and set baseline security requirements for operators of essential and digital services [54].</w:t>
      </w:r>
    </w:p>
    <w:p w14:paraId="7EA59922" w14:textId="77777777" w:rsidR="006628BA" w:rsidRDefault="00000000">
      <w:pPr>
        <w:numPr>
          <w:ilvl w:val="0"/>
          <w:numId w:val="6"/>
        </w:numPr>
        <w:spacing w:after="0"/>
      </w:pPr>
      <w:r>
        <w:t>Europe has the capabilities to develop new quantum technologies, exemplified by Anton Zeilinger. The Austrian physicist won the 2022 Nobel Prize for pioneering work in quantum entanglement, which has inspired research in quantum communication [55, 56].</w:t>
      </w:r>
    </w:p>
    <w:p w14:paraId="31F0A384" w14:textId="77777777" w:rsidR="006628BA" w:rsidRDefault="00000000">
      <w:pPr>
        <w:numPr>
          <w:ilvl w:val="0"/>
          <w:numId w:val="6"/>
        </w:numPr>
      </w:pPr>
      <w:r>
        <w:t>Policymakers emphasize the need for systems to transition seamlessly to post-quantum security. All EU member states are expected to begin this shift by the end of 2026 [50].</w:t>
      </w:r>
    </w:p>
    <w:p w14:paraId="77BDC3A9" w14:textId="77777777" w:rsidR="006628BA" w:rsidRDefault="00000000">
      <w:pPr>
        <w:pStyle w:val="Heading3"/>
      </w:pPr>
      <w:bookmarkStart w:id="23" w:name="_heading=h.ez3syr70wiks" w:colFirst="0" w:colLast="0"/>
      <w:bookmarkEnd w:id="23"/>
      <w:r>
        <w:t>Challenges</w:t>
      </w:r>
    </w:p>
    <w:p w14:paraId="460819E3" w14:textId="77777777" w:rsidR="006628BA" w:rsidRDefault="00000000">
      <w:pPr>
        <w:numPr>
          <w:ilvl w:val="0"/>
          <w:numId w:val="4"/>
        </w:numPr>
        <w:spacing w:before="240" w:after="0"/>
      </w:pPr>
      <w:r>
        <w:t>In 2022, the EU faced a shortage of 260,000–500,000 cybersecurity professionals, out of an estimated need of ~883,000, significantly hindering the deployment of advanced technologies [57].</w:t>
      </w:r>
    </w:p>
    <w:p w14:paraId="3FD5FE18" w14:textId="77777777" w:rsidR="006628BA" w:rsidRDefault="00000000">
      <w:pPr>
        <w:numPr>
          <w:ilvl w:val="0"/>
          <w:numId w:val="4"/>
        </w:numPr>
        <w:spacing w:after="0"/>
      </w:pPr>
      <w:r>
        <w:t>As of July 2025, only 14 out of 27 EU member states had incorporated the NIS2 directive into national law [58].</w:t>
      </w:r>
    </w:p>
    <w:p w14:paraId="0F81B663" w14:textId="77777777" w:rsidR="006628BA" w:rsidRDefault="00000000">
      <w:pPr>
        <w:numPr>
          <w:ilvl w:val="0"/>
          <w:numId w:val="4"/>
        </w:numPr>
        <w:spacing w:after="0"/>
      </w:pPr>
      <w:r>
        <w:t>Integrating advanced solutions into legacy infrastructure is costly and technically challenging. Industrial systems often cannot adapt to post-quantum models without major redesign [59].</w:t>
      </w:r>
    </w:p>
    <w:p w14:paraId="7E3EBB5E" w14:textId="77777777" w:rsidR="006628BA" w:rsidRDefault="00000000">
      <w:pPr>
        <w:numPr>
          <w:ilvl w:val="0"/>
          <w:numId w:val="4"/>
        </w:numPr>
      </w:pPr>
      <w:r>
        <w:t>Europe’s diverse vendor landscape and evolving certification schemes create integration and compliance burdens, slowing adoption [60].</w:t>
      </w:r>
    </w:p>
    <w:p w14:paraId="47A70952" w14:textId="77777777" w:rsidR="006628BA" w:rsidRDefault="00000000">
      <w:pPr>
        <w:pStyle w:val="Heading3"/>
        <w:keepNext w:val="0"/>
        <w:keepLines w:val="0"/>
        <w:spacing w:before="280" w:after="80" w:line="312" w:lineRule="auto"/>
      </w:pPr>
      <w:bookmarkStart w:id="24" w:name="_heading=h.cevc7oqaawno" w:colFirst="0" w:colLast="0"/>
      <w:bookmarkEnd w:id="24"/>
      <w:r>
        <w:t>Impact on European Digital Sovereignty</w:t>
      </w:r>
    </w:p>
    <w:p w14:paraId="6E1D7883" w14:textId="77777777" w:rsidR="006628BA" w:rsidRDefault="00000000">
      <w:pPr>
        <w:spacing w:after="0"/>
      </w:pPr>
      <w:r>
        <w:t>The rise of quantum computing and the shift toward post-quantum cryptography have significant implications for Europe’s digital sovereignty. Reliance on traditional cryptographic standards could expose sensitive data to external control or compromise its integrity. Europe can maintain control over its critical data flows and communications by deploying modern quantum-secure infrastructure and adopting post-quantum algorithms. Furthermore, strengthening crypto-agility ensures that Europe can rapidly adapt to emerging threats without relying on external actors, thereby safeguarding its long-term strategic autonomy in finance, healthcare, defense, and other critical sectors.</w:t>
      </w:r>
    </w:p>
    <w:p w14:paraId="7BA51EBD" w14:textId="77777777" w:rsidR="006628BA" w:rsidRDefault="006628BA">
      <w:pPr>
        <w:spacing w:before="240"/>
      </w:pPr>
    </w:p>
    <w:p w14:paraId="0899411C" w14:textId="77777777" w:rsidR="006628BA" w:rsidRDefault="006628BA">
      <w:pPr>
        <w:spacing w:before="240"/>
      </w:pPr>
    </w:p>
    <w:p w14:paraId="7A6379CE" w14:textId="77777777" w:rsidR="006628BA" w:rsidRDefault="006628BA">
      <w:pPr>
        <w:pStyle w:val="Heading1"/>
        <w:ind w:left="0" w:firstLine="0"/>
      </w:pPr>
      <w:bookmarkStart w:id="25" w:name="_heading=h.jve7bkblot9" w:colFirst="0" w:colLast="0"/>
      <w:bookmarkEnd w:id="25"/>
    </w:p>
    <w:p w14:paraId="5544BB3C" w14:textId="77777777" w:rsidR="006628BA" w:rsidRDefault="006628BA">
      <w:pPr>
        <w:spacing w:before="240"/>
      </w:pPr>
    </w:p>
    <w:p w14:paraId="48CFE01C" w14:textId="77777777" w:rsidR="006628BA" w:rsidRDefault="006628BA">
      <w:pPr>
        <w:spacing w:before="240"/>
      </w:pPr>
    </w:p>
    <w:p w14:paraId="69D580EA" w14:textId="77777777" w:rsidR="006628BA" w:rsidRDefault="00000000">
      <w:pPr>
        <w:pStyle w:val="Heading1"/>
        <w:numPr>
          <w:ilvl w:val="0"/>
          <w:numId w:val="2"/>
        </w:numPr>
      </w:pPr>
      <w:bookmarkStart w:id="26" w:name="_heading=h.bjo5m4gvfoa9" w:colFirst="0" w:colLast="0"/>
      <w:bookmarkEnd w:id="26"/>
      <w:r>
        <w:t>Securing Connectivity in the 6G Era</w:t>
      </w:r>
    </w:p>
    <w:p w14:paraId="3EBF7CAE" w14:textId="77777777" w:rsidR="006628BA" w:rsidRDefault="00000000">
      <w:pPr>
        <w:pStyle w:val="Heading2"/>
        <w:rPr>
          <w:color w:val="FF0000"/>
        </w:rPr>
      </w:pPr>
      <w:bookmarkStart w:id="27" w:name="_heading=h.3hl4s7o694wd" w:colFirst="0" w:colLast="0"/>
      <w:bookmarkEnd w:id="27"/>
      <w:r>
        <w:t>Europe’s Path to Resilient Networks Through 6G</w:t>
      </w:r>
    </w:p>
    <w:p w14:paraId="531EF9B9" w14:textId="77777777" w:rsidR="006628BA" w:rsidRDefault="00000000">
      <w:pPr>
        <w:spacing w:before="240"/>
      </w:pPr>
      <w:r>
        <w:t>Positioned as the next standard for global communication, 6G is designed to integrate mobile and satellite-based internet networks into a unified, intelligent infrastructure. Within 6G, devices will seamlessly switch to the best available connection, extending reliable coverage to previously uncovered areas. This “network of networks” enables real-time coordination of billions of endpoints [11]. Future applications include autonomous cars exchanging updates within milliseconds to avoid collisions or thousands of sensors reporting continuously [61]. This growing data exchange makes high-throughput data transmission and thus new frequency bands essential [62]. For this to work, edge computing nodes will enable local AI to manage the network with near-zero latency [12]. The strategic importance of 6G lies in determining who sets the global standards and holds the key patents, as this will shape the technologies adopted worldwide and dictate where value and influence accrue. Europe’s experience with Huawei during the 5G rollout illustrates the risks: while Huawei offered cost-effective and advanced equipment, its dominant role triggered widespread security concerns, leading several countries to restrict or phase out its gear from critical networks. The rollout of 6G, therefore, is a critical chance to make our critical infrastructure more sovereign and reduce dependencies. [61, 62].</w:t>
      </w:r>
    </w:p>
    <w:p w14:paraId="665F183B" w14:textId="77777777" w:rsidR="006628BA" w:rsidRDefault="00000000">
      <w:pPr>
        <w:pStyle w:val="Heading3"/>
      </w:pPr>
      <w:bookmarkStart w:id="28" w:name="_heading=h.4d29fbqvc897" w:colFirst="0" w:colLast="0"/>
      <w:bookmarkEnd w:id="28"/>
      <w:r>
        <w:t>Facts</w:t>
      </w:r>
    </w:p>
    <w:p w14:paraId="69316A18" w14:textId="77777777" w:rsidR="006628BA" w:rsidRDefault="00000000">
      <w:pPr>
        <w:numPr>
          <w:ilvl w:val="0"/>
          <w:numId w:val="9"/>
        </w:numPr>
        <w:spacing w:after="0"/>
      </w:pPr>
      <w:r>
        <w:t>The first commercial 6G networks are expected to be available around the early 2030s [63].</w:t>
      </w:r>
    </w:p>
    <w:p w14:paraId="27C012AE" w14:textId="77777777" w:rsidR="006628BA" w:rsidRDefault="00000000">
      <w:pPr>
        <w:numPr>
          <w:ilvl w:val="0"/>
          <w:numId w:val="9"/>
        </w:numPr>
        <w:spacing w:after="0"/>
      </w:pPr>
      <w:r>
        <w:t>Europe has committed at least 1.8B EUR to 6G research, with member countries developing local programs that contribute to the broader European agenda [64, 65].</w:t>
      </w:r>
    </w:p>
    <w:p w14:paraId="0E996FA3" w14:textId="77777777" w:rsidR="006628BA" w:rsidRDefault="00000000">
      <w:pPr>
        <w:numPr>
          <w:ilvl w:val="0"/>
          <w:numId w:val="9"/>
        </w:numPr>
        <w:spacing w:after="0"/>
      </w:pPr>
      <w:r>
        <w:t>There is intense global competition, with China filing 40.3% of 6G patents, the US 35.2%, and Europe accounting for only 8.9% [66].</w:t>
      </w:r>
    </w:p>
    <w:p w14:paraId="2F5C6C33" w14:textId="77777777" w:rsidR="006628BA" w:rsidRDefault="00000000">
      <w:pPr>
        <w:numPr>
          <w:ilvl w:val="0"/>
          <w:numId w:val="9"/>
        </w:numPr>
        <w:spacing w:after="0"/>
      </w:pPr>
      <w:r>
        <w:t>The EU flagship programs Hexa-X and Hexa-X-II, led by Nokia and Ericsson with over 40 partners, are researching and developing the first 6G concepts to secure the European influence in global standard-setting [11, 67].</w:t>
      </w:r>
    </w:p>
    <w:p w14:paraId="07AFABE9" w14:textId="77777777" w:rsidR="006628BA" w:rsidRDefault="00000000">
      <w:pPr>
        <w:pStyle w:val="Heading3"/>
      </w:pPr>
      <w:bookmarkStart w:id="29" w:name="_heading=h.kzd1qod2ha0a" w:colFirst="0" w:colLast="0"/>
      <w:bookmarkEnd w:id="29"/>
      <w:r>
        <w:t>Key Drivers</w:t>
      </w:r>
    </w:p>
    <w:p w14:paraId="7962B2C7" w14:textId="77777777" w:rsidR="006628BA" w:rsidRDefault="00000000">
      <w:pPr>
        <w:numPr>
          <w:ilvl w:val="0"/>
          <w:numId w:val="11"/>
        </w:numPr>
        <w:spacing w:after="0"/>
      </w:pPr>
      <w:r>
        <w:t>The need for strategic autonomy pushes Europe to invest in 6G, as the control over standard-setting not only defines the global technological landscape but also determines who collects royalties [62, 68].</w:t>
      </w:r>
    </w:p>
    <w:p w14:paraId="5A7171C7" w14:textId="77777777" w:rsidR="006628BA" w:rsidRDefault="00000000">
      <w:pPr>
        <w:numPr>
          <w:ilvl w:val="0"/>
          <w:numId w:val="11"/>
        </w:numPr>
        <w:spacing w:after="0"/>
      </w:pPr>
      <w:r>
        <w:t>The rise of digital media, Industry 4.0, and real-time AI is driving latency and throughput demands that far exceed the abilities of 5G [61, 62].</w:t>
      </w:r>
    </w:p>
    <w:p w14:paraId="4D26D84D" w14:textId="77777777" w:rsidR="006628BA" w:rsidRDefault="00000000">
      <w:pPr>
        <w:numPr>
          <w:ilvl w:val="0"/>
          <w:numId w:val="11"/>
        </w:numPr>
        <w:pBdr>
          <w:top w:val="nil"/>
          <w:left w:val="nil"/>
          <w:bottom w:val="nil"/>
          <w:right w:val="nil"/>
          <w:between w:val="nil"/>
        </w:pBdr>
        <w:spacing w:after="0"/>
      </w:pPr>
      <w:r>
        <w:t>Rising cyber and military threats make secure, resilient networks indispensable, since future hospitals, energy grids, and armed forces will depend on uninterrupted and tamper-proof connectivity [11, 69].</w:t>
      </w:r>
    </w:p>
    <w:p w14:paraId="6644E939" w14:textId="77777777" w:rsidR="006628BA" w:rsidRDefault="00000000">
      <w:pPr>
        <w:pStyle w:val="Heading3"/>
      </w:pPr>
      <w:bookmarkStart w:id="30" w:name="_heading=h.2x35gejil1c6" w:colFirst="0" w:colLast="0"/>
      <w:bookmarkEnd w:id="30"/>
      <w:r>
        <w:t>Challenges</w:t>
      </w:r>
    </w:p>
    <w:p w14:paraId="7CB41515" w14:textId="77777777" w:rsidR="006628BA" w:rsidRDefault="00000000">
      <w:pPr>
        <w:numPr>
          <w:ilvl w:val="0"/>
          <w:numId w:val="3"/>
        </w:numPr>
        <w:spacing w:after="0"/>
      </w:pPr>
      <w:r>
        <w:t>Europe depends on highly specialized chips, rare earths, and patented processes from abroad, creating supply chain and licensing vulnerabilities for the 6G infrastructure [12].</w:t>
      </w:r>
    </w:p>
    <w:p w14:paraId="2399BD9E" w14:textId="77777777" w:rsidR="006628BA" w:rsidRDefault="00000000">
      <w:pPr>
        <w:numPr>
          <w:ilvl w:val="0"/>
          <w:numId w:val="3"/>
        </w:numPr>
        <w:spacing w:after="0"/>
      </w:pPr>
      <w:r>
        <w:t>Current hardware cannot efficiently process the extreme 6G bandwidths. Handling vastly larger data volumes requires new chip architectures, faster converters, and energy-efficient processors. Without these breakthroughs, power consumption will rise to unsustainable levels [70].</w:t>
      </w:r>
    </w:p>
    <w:p w14:paraId="5C0C1AF5" w14:textId="77777777" w:rsidR="006628BA" w:rsidRDefault="00000000">
      <w:pPr>
        <w:numPr>
          <w:ilvl w:val="0"/>
          <w:numId w:val="3"/>
        </w:numPr>
        <w:spacing w:after="0"/>
      </w:pPr>
      <w:r>
        <w:t>The high frequencies used in 6G have very short ranges and are easily blocked by obstacles. Overcoming this requires new hardware, such as advanced antenna technologies [70].</w:t>
      </w:r>
    </w:p>
    <w:p w14:paraId="57730A8F" w14:textId="77777777" w:rsidR="006628BA" w:rsidRDefault="00000000">
      <w:pPr>
        <w:pStyle w:val="Heading3"/>
        <w:keepNext w:val="0"/>
        <w:keepLines w:val="0"/>
        <w:spacing w:before="280" w:after="80" w:line="312" w:lineRule="auto"/>
      </w:pPr>
      <w:bookmarkStart w:id="31" w:name="_heading=h.np7kwnq1wn7g" w:colFirst="0" w:colLast="0"/>
      <w:bookmarkEnd w:id="31"/>
      <w:r>
        <w:t>Impact on European Digital Sovereignty</w:t>
      </w:r>
    </w:p>
    <w:p w14:paraId="7368FCD1" w14:textId="77777777" w:rsidR="006628BA" w:rsidRDefault="00000000">
      <w:pPr>
        <w:spacing w:before="240"/>
        <w:rPr>
          <w:color w:val="FF0000"/>
        </w:rPr>
      </w:pPr>
      <w:r>
        <w:t>6G will be decisive for Europe’s sovereignty as it determines who owns the licensing of future communication. By shaping standards and securing patents, Europe can avoid dependence on foreign technologies that dictate costs, technical frameworks, and security protocols. Without secure, always-available networks, Europe risks disruptions to vital services, making robust, tamper-resistant connectivity a cornerstone of sovereignty. Therefore, building knowledge through European-led programs like Hexa-X is essential to ensure that future digital infrastructures reflect European priorities of trust, security, and autonomy.</w:t>
      </w:r>
    </w:p>
    <w:sectPr w:rsidR="006628BA">
      <w:headerReference w:type="default" r:id="rId10"/>
      <w:footerReference w:type="default" r:id="rId1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81A39" w14:textId="77777777" w:rsidR="001210C3" w:rsidRDefault="001210C3">
      <w:pPr>
        <w:spacing w:after="0"/>
      </w:pPr>
      <w:r>
        <w:separator/>
      </w:r>
    </w:p>
  </w:endnote>
  <w:endnote w:type="continuationSeparator" w:id="0">
    <w:p w14:paraId="10E9DD6A" w14:textId="77777777" w:rsidR="001210C3" w:rsidRDefault="001210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venir">
    <w:panose1 w:val="02000503020000020003"/>
    <w:charset w:val="00"/>
    <w:family w:val="auto"/>
    <w:pitch w:val="variable"/>
    <w:sig w:usb0="800000AF" w:usb1="5000204A" w:usb2="00000000" w:usb3="00000000" w:csb0="0000009B"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notTrueType/>
    <w:pitch w:val="default"/>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F4490" w14:textId="77777777" w:rsidR="006628BA" w:rsidRDefault="006628B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EB81F" w14:textId="31CA35EE" w:rsidR="006628BA" w:rsidRDefault="00000000">
    <w:pPr>
      <w:jc w:val="right"/>
    </w:pPr>
    <w:r>
      <w:fldChar w:fldCharType="begin"/>
    </w:r>
    <w:r>
      <w:instrText>PAGE</w:instrText>
    </w:r>
    <w:r>
      <w:fldChar w:fldCharType="separate"/>
    </w:r>
    <w:r w:rsidR="00A65869">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499AD" w14:textId="77777777" w:rsidR="001210C3" w:rsidRDefault="001210C3">
      <w:pPr>
        <w:spacing w:after="0"/>
      </w:pPr>
      <w:r>
        <w:separator/>
      </w:r>
    </w:p>
  </w:footnote>
  <w:footnote w:type="continuationSeparator" w:id="0">
    <w:p w14:paraId="5E1246C2" w14:textId="77777777" w:rsidR="001210C3" w:rsidRDefault="001210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E7F3B" w14:textId="77777777" w:rsidR="006628BA" w:rsidRDefault="006628B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AC598" w14:textId="77777777" w:rsidR="006628BA" w:rsidRDefault="00000000">
    <w:pPr>
      <w:pBdr>
        <w:top w:val="none" w:sz="0" w:space="0" w:color="000000"/>
        <w:left w:val="none" w:sz="0" w:space="0" w:color="000000"/>
        <w:bottom w:val="single" w:sz="4" w:space="1" w:color="000000"/>
        <w:right w:val="none" w:sz="0" w:space="0" w:color="000000"/>
        <w:between w:val="none" w:sz="0" w:space="0" w:color="000000"/>
      </w:pBdr>
      <w:tabs>
        <w:tab w:val="left" w:pos="7795"/>
      </w:tabs>
    </w:pPr>
    <w:r>
      <w:t>Trend Phase: Technology I Team Members: Anjella, Andriani, Danit, Joseph, Gjergj, Nikolas I Phase: Basic</w:t>
    </w:r>
  </w:p>
  <w:p w14:paraId="288B331C" w14:textId="77777777" w:rsidR="006628BA" w:rsidRDefault="006628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752A3"/>
    <w:multiLevelType w:val="multilevel"/>
    <w:tmpl w:val="036A72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0B512FC"/>
    <w:multiLevelType w:val="multilevel"/>
    <w:tmpl w:val="DF649048"/>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1FBF11B6"/>
    <w:multiLevelType w:val="multilevel"/>
    <w:tmpl w:val="48D0D2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32EA0850"/>
    <w:multiLevelType w:val="multilevel"/>
    <w:tmpl w:val="4E94ED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4374F57"/>
    <w:multiLevelType w:val="multilevel"/>
    <w:tmpl w:val="0C30E2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CAF408E"/>
    <w:multiLevelType w:val="multilevel"/>
    <w:tmpl w:val="AF283680"/>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3EE6348B"/>
    <w:multiLevelType w:val="multilevel"/>
    <w:tmpl w:val="CD941A84"/>
    <w:lvl w:ilvl="0">
      <w:start w:val="1"/>
      <w:numFmt w:val="decimalZero"/>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452E2795"/>
    <w:multiLevelType w:val="multilevel"/>
    <w:tmpl w:val="587A95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56874D6D"/>
    <w:multiLevelType w:val="multilevel"/>
    <w:tmpl w:val="05ACF77E"/>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698D0A13"/>
    <w:multiLevelType w:val="multilevel"/>
    <w:tmpl w:val="699C18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70385EB7"/>
    <w:multiLevelType w:val="multilevel"/>
    <w:tmpl w:val="BC9C2C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686394858">
    <w:abstractNumId w:val="1"/>
  </w:num>
  <w:num w:numId="2" w16cid:durableId="993603565">
    <w:abstractNumId w:val="6"/>
  </w:num>
  <w:num w:numId="3" w16cid:durableId="146361058">
    <w:abstractNumId w:val="4"/>
  </w:num>
  <w:num w:numId="4" w16cid:durableId="487326935">
    <w:abstractNumId w:val="0"/>
  </w:num>
  <w:num w:numId="5" w16cid:durableId="296420250">
    <w:abstractNumId w:val="2"/>
  </w:num>
  <w:num w:numId="6" w16cid:durableId="545067867">
    <w:abstractNumId w:val="8"/>
  </w:num>
  <w:num w:numId="7" w16cid:durableId="1158574530">
    <w:abstractNumId w:val="5"/>
  </w:num>
  <w:num w:numId="8" w16cid:durableId="472331273">
    <w:abstractNumId w:val="3"/>
  </w:num>
  <w:num w:numId="9" w16cid:durableId="2092267897">
    <w:abstractNumId w:val="9"/>
  </w:num>
  <w:num w:numId="10" w16cid:durableId="2047486051">
    <w:abstractNumId w:val="10"/>
  </w:num>
  <w:num w:numId="11" w16cid:durableId="120285895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8BA"/>
    <w:rsid w:val="000679CC"/>
    <w:rsid w:val="001210C3"/>
    <w:rsid w:val="002655EE"/>
    <w:rsid w:val="006628BA"/>
    <w:rsid w:val="00727DD6"/>
    <w:rsid w:val="00A65869"/>
    <w:rsid w:val="00E72663"/>
    <w:rsid w:val="00F14173"/>
  </w:rsids>
  <m:mathPr>
    <m:mathFont m:val="Cambria Math"/>
    <m:brkBin m:val="before"/>
    <m:brkBinSub m:val="--"/>
    <m:smallFrac m:val="0"/>
    <m:dispDef/>
    <m:lMargin m:val="0"/>
    <m:rMargin m:val="0"/>
    <m:defJc m:val="centerGroup"/>
    <m:wrapIndent m:val="1440"/>
    <m:intLim m:val="subSup"/>
    <m:naryLim m:val="undOvr"/>
  </m:mathPr>
  <w:themeFontLang w:val="en-DE" w:bidi="th-TH"/>
  <w:clrSchemeMapping w:bg1="light1" w:t1="dark1" w:bg2="light2" w:t2="dark2" w:accent1="accent1" w:accent2="accent2" w:accent3="accent3" w:accent4="accent4" w:accent5="accent5" w:accent6="accent6" w:hyperlink="hyperlink" w:followedHyperlink="followedHyperlink"/>
  <w:decimalSymbol w:val=","/>
  <w:listSeparator w:val=","/>
  <w14:docId w14:val="6E50EE13"/>
  <w15:docId w15:val="{EDF15774-399F-FF43-912F-EEEFD9486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venir" w:eastAsia="Avenir" w:hAnsi="Avenir" w:cs="Avenir"/>
        <w:color w:val="3C3F42"/>
        <w:sz w:val="15"/>
        <w:szCs w:val="15"/>
        <w:lang w:val="en" w:eastAsia="en-GB" w:bidi="th-TH"/>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ind w:left="720" w:hanging="360"/>
      <w:outlineLvl w:val="0"/>
    </w:pPr>
    <w:rPr>
      <w:color w:val="5B9BD5"/>
      <w:sz w:val="24"/>
      <w:szCs w:val="24"/>
    </w:rPr>
  </w:style>
  <w:style w:type="paragraph" w:styleId="Heading2">
    <w:name w:val="heading 2"/>
    <w:basedOn w:val="Normal"/>
    <w:next w:val="Normal"/>
    <w:uiPriority w:val="9"/>
    <w:unhideWhenUsed/>
    <w:qFormat/>
    <w:pPr>
      <w:keepNext/>
      <w:keepLines/>
      <w:spacing w:before="240"/>
      <w:outlineLvl w:val="1"/>
    </w:pPr>
    <w:rPr>
      <w:sz w:val="18"/>
      <w:szCs w:val="18"/>
    </w:rPr>
  </w:style>
  <w:style w:type="paragraph" w:styleId="Heading3">
    <w:name w:val="heading 3"/>
    <w:basedOn w:val="Normal"/>
    <w:next w:val="Normal"/>
    <w:uiPriority w:val="9"/>
    <w:unhideWhenUsed/>
    <w:qFormat/>
    <w:pPr>
      <w:keepNext/>
      <w:keepLines/>
      <w:spacing w:before="240"/>
      <w:outlineLvl w:val="2"/>
    </w:pPr>
    <w:rPr>
      <w:b/>
      <w:color w:val="024EA2"/>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sz w:val="22"/>
      <w:szCs w:val="22"/>
    </w:rPr>
  </w:style>
  <w:style w:type="paragraph" w:styleId="Heading6">
    <w:name w:val="heading 6"/>
    <w:basedOn w:val="Normal"/>
    <w:next w:val="Normal"/>
    <w:uiPriority w:val="9"/>
    <w:semiHidden/>
    <w:unhideWhenUsed/>
    <w:qFormat/>
    <w:pPr>
      <w:keepNext/>
      <w:keepLines/>
      <w:spacing w:before="240" w:after="80"/>
      <w:outlineLvl w:val="5"/>
    </w:pPr>
    <w:rPr>
      <w:i/>
      <w:color w:val="66666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after="60"/>
    </w:pPr>
    <w:rPr>
      <w:sz w:val="52"/>
      <w:szCs w:val="52"/>
    </w:rPr>
  </w:style>
  <w:style w:type="table" w:customStyle="1" w:styleId="TableNormal1">
    <w:name w:val="TableNormal"/>
    <w:tblPr>
      <w:tblCellMar>
        <w:top w:w="100" w:type="dxa"/>
        <w:left w:w="100" w:type="dxa"/>
        <w:bottom w:w="100" w:type="dxa"/>
        <w:right w:w="100" w:type="dxa"/>
      </w:tblCellMar>
    </w:tblPr>
  </w:style>
  <w:style w:type="paragraph" w:styleId="Subtitle">
    <w:name w:val="Subtitle"/>
    <w:basedOn w:val="Normal"/>
    <w:next w:val="Normal"/>
    <w:uiPriority w:val="11"/>
    <w:qFormat/>
    <w:pPr>
      <w:keepNext/>
      <w:keepLines/>
      <w:spacing w:after="320"/>
    </w:pPr>
    <w:rPr>
      <w:rFonts w:ascii="Arial" w:eastAsia="Arial" w:hAnsi="Arial" w:cs="Arial"/>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FDL2o5Hf+SNl5/ijrBFBv/Cnmg==">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3578</Words>
  <Characters>20401</Characters>
  <Application>Microsoft Office Word</Application>
  <DocSecurity>0</DocSecurity>
  <Lines>170</Lines>
  <Paragraphs>47</Paragraphs>
  <ScaleCrop>false</ScaleCrop>
  <Company/>
  <LinksUpToDate>false</LinksUpToDate>
  <CharactersWithSpaces>23932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Danit Niwattananan</cp:lastModifiedBy>
  <cp:revision>4</cp:revision>
  <dcterms:created xsi:type="dcterms:W3CDTF">2025-09-28T17:25:00Z</dcterms:created>
  <dcterms:modified xsi:type="dcterms:W3CDTF">2025-09-30T09:33:00Z</dcterms:modified>
</cp:coreProperties>
</file>