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594F75" w:rsidRDefault="00000000">
      <w:pPr>
        <w:pStyle w:val="Title"/>
        <w:rPr>
          <w:rFonts w:ascii="Avenir" w:eastAsia="Avenir" w:hAnsi="Avenir" w:cs="Avenir"/>
          <w:b/>
          <w:color w:val="5B9BD5"/>
          <w:sz w:val="24"/>
          <w:szCs w:val="24"/>
        </w:rPr>
      </w:pPr>
      <w:bookmarkStart w:id="0" w:name="_heading=h.t7hzbdjz2a39" w:colFirst="0" w:colLast="0"/>
      <w:bookmarkEnd w:id="0"/>
      <w:r>
        <w:rPr>
          <w:rFonts w:ascii="Avenir" w:eastAsia="Avenir" w:hAnsi="Avenir" w:cs="Avenir"/>
          <w:b/>
          <w:color w:val="5B9BD5"/>
          <w:sz w:val="24"/>
          <w:szCs w:val="24"/>
        </w:rPr>
        <w:t>Introduction: Environmental Trends</w:t>
      </w:r>
    </w:p>
    <w:p w14:paraId="00000002" w14:textId="77777777" w:rsidR="00594F75" w:rsidRDefault="00000000">
      <w:pPr>
        <w:spacing w:before="240" w:after="240"/>
      </w:pPr>
      <w:r>
        <w:t>Every economic activity, from agriculture to high technology, relies on energy, raw materials, and stable environmental conditions. Climate change acts as a systemic factor that destabilizes supply chains, energy systems, and infrastructure [T-ENV-1-13]. Since digital infrastructures such as cloud services, AI clusters, and telecom networks rest on these same foundations, environmental resilience is essential for sovereignty. But environmental pressures will intensify in the coming decades. For Europe, risks are further amplified by its structural dependence on external suppliers of energy and critical materials [T-ENV-2-10]. This reliance exposes the continent to potential restrictions on fossil fuels from Russia and the Middle East, as well as on rare earths and lithium processed in China, which can be used as tools of geopolitical leverage [T-ENV-1-14], [T-ENV-2-10]. Ultimately, connecting digital sovereignty with environmental resilience is essential, as the environment is the very condition within which Europe’s sovereignty must be achieved.</w:t>
      </w:r>
    </w:p>
    <w:p w14:paraId="00000003" w14:textId="534E1763" w:rsidR="00594F75" w:rsidRDefault="00000000">
      <w:pPr>
        <w:spacing w:before="240" w:after="240"/>
      </w:pPr>
      <w:r>
        <w:t>This interaction runs in both directions. Many climate measures strengthen sovereignty by reducing dependency and increasing resilience, for example, through energy efficiency, renewable energy, or circular material use [T-ENV-1-</w:t>
      </w:r>
      <w:r w:rsidR="00A71C00">
        <w:t xml:space="preserve"> </w:t>
      </w:r>
      <w:r>
        <w:t>03], [T-ENV-2-08]. However, measures can also create conflicts when raising costs, weakening competitiveness, or increasing reliance on imports of key green technologies [T-ENV-1-09]. Simultaneously, the drive for strategic autonomy supports investments in renewable energy and recycling, which also advance climate goals [T-ENV-1-18]. The result is a close yet differentiated relationship where many actions create dual legitimacy even though the two agendas are not identical.</w:t>
      </w:r>
    </w:p>
    <w:p w14:paraId="00000004" w14:textId="77777777" w:rsidR="00594F75" w:rsidRDefault="00000000">
      <w:pPr>
        <w:spacing w:before="240" w:after="240"/>
      </w:pPr>
      <w:r>
        <w:t>The tensions between climate measures, costs, and new dependencies unfold across three dimensions: Scale and speed, interdependence of infrastructures, and legitimacy and acceptance. Europe’s digital sovereignty is shaped by how it manages environmental constraints across them. Firstly, scale and speed matter because digital demand grows rapidly through AI, cloud computing, and 6G [T-ENV-3-14]. Unless the energy transition and material cycles expand at the same speed, the external dependencies outlined above only intensify. Clean energy must be deployed faster than demand, recycling scaled beyond pilots, and industrial land reused for data centers before bottlenecks lock in [T-ENV-5-02]. Secondly, the interdependence of infrastructures is crucial since digital systems rely on natural systems. Droughts reduce cooling water, storms damage grids, and energy crises affect cloud and AI services. This reflects systemic risks where climate shocks destabilize supply chains and energy systems [T-ENV-1-13]. Environmental stability thus becomes a direct condition of sovereignty. Thirdly, legitimacy and acceptance determine whether sovereignty projects succeed, as they consume land, water, and energy. Here, the duality described earlier is visible: measures may strengthen sovereignty long term but trigger costs and resistance short term [T-ENV-5-06]. Moreover, brownfield reuse has more societal support compared to building infrastructure from scratch, while also lowering the carbon footprint through the reuse of existing facilities [T-ENV-5-04].</w:t>
      </w:r>
    </w:p>
    <w:p w14:paraId="00000005" w14:textId="77777777" w:rsidR="00594F75" w:rsidRDefault="00000000">
      <w:pPr>
        <w:spacing w:before="240" w:after="240"/>
      </w:pPr>
      <w:r>
        <w:t>Together, these dimensions sharpen the argument that the environment is the condition of sovereignty. The following five trends on climate directives, circular lifecycles, clean energy, efficiency, and brownfield reuse illustrate how environmental resilience and digital sovereignty converge in practice.</w:t>
      </w:r>
    </w:p>
    <w:p w14:paraId="00000006" w14:textId="77777777" w:rsidR="00594F75" w:rsidRDefault="00594F75">
      <w:pPr>
        <w:spacing w:before="240" w:after="240"/>
      </w:pPr>
    </w:p>
    <w:p w14:paraId="00000007" w14:textId="77777777" w:rsidR="00594F75" w:rsidRDefault="00594F75">
      <w:pPr>
        <w:spacing w:before="240" w:after="240"/>
      </w:pPr>
    </w:p>
    <w:p w14:paraId="00000008" w14:textId="77777777" w:rsidR="00594F75" w:rsidRDefault="00594F75">
      <w:pPr>
        <w:spacing w:before="240" w:after="240"/>
      </w:pPr>
    </w:p>
    <w:p w14:paraId="00000009" w14:textId="77777777" w:rsidR="00594F75" w:rsidRDefault="00594F75">
      <w:pPr>
        <w:spacing w:before="240" w:after="240"/>
      </w:pPr>
    </w:p>
    <w:p w14:paraId="0000000A" w14:textId="77777777" w:rsidR="00594F75" w:rsidRDefault="00594F75">
      <w:pPr>
        <w:spacing w:before="240" w:after="240"/>
        <w:rPr>
          <w:b/>
        </w:rPr>
      </w:pPr>
    </w:p>
    <w:p w14:paraId="0000000B" w14:textId="77777777" w:rsidR="00594F75" w:rsidRDefault="00594F75">
      <w:pPr>
        <w:spacing w:before="240" w:after="240"/>
        <w:rPr>
          <w:b/>
        </w:rPr>
      </w:pPr>
    </w:p>
    <w:p w14:paraId="0000000C" w14:textId="77777777" w:rsidR="00594F75" w:rsidRDefault="00594F75">
      <w:pPr>
        <w:spacing w:after="200"/>
        <w:rPr>
          <w:b/>
        </w:rPr>
      </w:pPr>
    </w:p>
    <w:p w14:paraId="00000013" w14:textId="489E2BFE" w:rsidR="00A71C00" w:rsidRDefault="00A71C00">
      <w:pPr>
        <w:rPr>
          <w:b/>
          <w:color w:val="024EA2"/>
        </w:rPr>
      </w:pPr>
      <w:r>
        <w:rPr>
          <w:b/>
          <w:color w:val="024EA2"/>
        </w:rPr>
        <w:br w:type="page"/>
      </w:r>
    </w:p>
    <w:p w14:paraId="770A8AE8" w14:textId="77777777" w:rsidR="00A71C00" w:rsidRDefault="00A71C00">
      <w:pPr>
        <w:rPr>
          <w:b/>
          <w:color w:val="024EA2"/>
        </w:rPr>
      </w:pPr>
    </w:p>
    <w:p w14:paraId="0CF2F100" w14:textId="77777777" w:rsidR="00594F75" w:rsidRDefault="00594F75">
      <w:pPr>
        <w:spacing w:after="200"/>
        <w:jc w:val="left"/>
      </w:pPr>
    </w:p>
    <w:p w14:paraId="00000014" w14:textId="77777777" w:rsidR="00594F75" w:rsidRDefault="00000000">
      <w:pPr>
        <w:pStyle w:val="Heading1"/>
        <w:numPr>
          <w:ilvl w:val="0"/>
          <w:numId w:val="1"/>
        </w:numPr>
        <w:spacing w:after="200"/>
      </w:pPr>
      <w:bookmarkStart w:id="1" w:name="_heading=h.ac3ae8690cvs" w:colFirst="0" w:colLast="0"/>
      <w:bookmarkEnd w:id="1"/>
      <w:r>
        <w:t>Leveraging Climate Directives</w:t>
      </w:r>
    </w:p>
    <w:p w14:paraId="00000015" w14:textId="77777777" w:rsidR="00594F75" w:rsidRDefault="00000000">
      <w:pPr>
        <w:spacing w:after="200"/>
        <w:rPr>
          <w:color w:val="000000"/>
          <w:sz w:val="18"/>
          <w:szCs w:val="18"/>
        </w:rPr>
      </w:pPr>
      <w:r>
        <w:rPr>
          <w:color w:val="000000"/>
          <w:sz w:val="18"/>
          <w:szCs w:val="18"/>
        </w:rPr>
        <w:t xml:space="preserve">Pairing Climate Targets </w:t>
      </w:r>
      <w:proofErr w:type="gramStart"/>
      <w:r>
        <w:rPr>
          <w:color w:val="000000"/>
          <w:sz w:val="18"/>
          <w:szCs w:val="18"/>
        </w:rPr>
        <w:t>With</w:t>
      </w:r>
      <w:proofErr w:type="gramEnd"/>
      <w:r>
        <w:rPr>
          <w:color w:val="000000"/>
          <w:sz w:val="18"/>
          <w:szCs w:val="18"/>
        </w:rPr>
        <w:t xml:space="preserve"> Energy and Supply-Chain Resilience Through Binding Rules</w:t>
      </w:r>
    </w:p>
    <w:p w14:paraId="00000016" w14:textId="77777777" w:rsidR="00594F75" w:rsidRDefault="00000000">
      <w:pPr>
        <w:spacing w:before="240" w:after="240"/>
      </w:pPr>
      <w:r>
        <w:t>Climate change will increasingly disrupt supply chains and transport routes through extreme weather, posing direct risks to Europe’s digital infrastructure [T-ENV-1-13]. To address these shocks, Europe must not only meet its climate targets but also strengthen its supply chain resilience. At the same time, the rising energy demand from the expansion of data centers and AI clusters increases Europe’s strategic vulnerability due to its reliance on energy imports from foreign suppliers [T-ENV-1-14]. Two directives address these vulnerabilities. The Corporate Sustainability Reporting Directive (CSRD) and the European Sustainability Reporting Standards (ESRS) require firms to disclose climate and supply chain risks, generating the data and awareness needed to prepare for climate impacts [T-ENV-1-01], [T-ENV-1-02]. Moreover, the Energy Efficiency Directive (EED) sets binding targets for member states and mandates measures such as annual electricity reductions, mandatory renovation of public buildings, and energy audits for large firms [T-ENV-1-03], [T-ENV-1-04]. These directives tie climate policy to sovereignty by reducing dependencies and strengthening supply chain resilience.</w:t>
      </w:r>
    </w:p>
    <w:p w14:paraId="00000017" w14:textId="77777777" w:rsidR="00594F75" w:rsidRDefault="00000000">
      <w:pPr>
        <w:spacing w:after="200"/>
        <w:rPr>
          <w:b/>
          <w:color w:val="000000"/>
        </w:rPr>
      </w:pPr>
      <w:r>
        <w:rPr>
          <w:b/>
          <w:color w:val="024EA2"/>
        </w:rPr>
        <w:t xml:space="preserve">Facts: </w:t>
      </w:r>
    </w:p>
    <w:p w14:paraId="00000018" w14:textId="77777777" w:rsidR="00594F75" w:rsidRDefault="00000000">
      <w:pPr>
        <w:numPr>
          <w:ilvl w:val="0"/>
          <w:numId w:val="3"/>
        </w:numPr>
      </w:pPr>
      <w:r>
        <w:t>Climate change could increase European coastal flood damages by more than tenfold by 2100, while droughts may last 2–3 times longer, together threatening ports, mining, and supply chains [T-ENV-1-13].</w:t>
      </w:r>
    </w:p>
    <w:p w14:paraId="00000019" w14:textId="77777777" w:rsidR="00594F75" w:rsidRDefault="00000000">
      <w:pPr>
        <w:numPr>
          <w:ilvl w:val="0"/>
          <w:numId w:val="3"/>
        </w:numPr>
      </w:pPr>
      <w:r>
        <w:t>The EU imports over half of its energy, thus remaining dependent on Russian gas, Middle Eastern oil, and US natural gas [T-ENV-1-14].</w:t>
      </w:r>
    </w:p>
    <w:p w14:paraId="0000001A" w14:textId="77777777" w:rsidR="00594F75" w:rsidRDefault="00000000">
      <w:pPr>
        <w:numPr>
          <w:ilvl w:val="0"/>
          <w:numId w:val="3"/>
        </w:numPr>
      </w:pPr>
      <w:r>
        <w:t>The CSRD and ESRS require firms to disclose climate-related risks, including Scope 3 emissions. These are the indirect emissions from suppliers, transport, and product use that often make up the majority of a company’s footprint [T-ENV-1-01], [T-ENV-1-02].</w:t>
      </w:r>
    </w:p>
    <w:p w14:paraId="0000001B" w14:textId="77777777" w:rsidR="00594F75" w:rsidRDefault="00594F75"/>
    <w:p w14:paraId="0000001C" w14:textId="77777777" w:rsidR="00594F75" w:rsidRDefault="00000000">
      <w:pPr>
        <w:spacing w:after="200"/>
        <w:rPr>
          <w:color w:val="024EA2"/>
        </w:rPr>
      </w:pPr>
      <w:r>
        <w:rPr>
          <w:b/>
          <w:color w:val="024EA2"/>
        </w:rPr>
        <w:t>Key Driver</w:t>
      </w:r>
      <w:r>
        <w:rPr>
          <w:color w:val="024EA2"/>
        </w:rPr>
        <w:t xml:space="preserve">s: </w:t>
      </w:r>
    </w:p>
    <w:p w14:paraId="0000001D" w14:textId="77777777" w:rsidR="00594F75" w:rsidRDefault="00000000">
      <w:pPr>
        <w:numPr>
          <w:ilvl w:val="0"/>
          <w:numId w:val="3"/>
        </w:numPr>
      </w:pPr>
      <w:r>
        <w:t>Its goals regarding strategic autonomy push Europe to cut energy use and reduce reliance on external suppliers, exposed by the energy crisis and Chinese rare earth restrictions. Climate directives like the EED and CSRD turn these pressures into binding measures [T-ENV-1-01], [T-ENV-1-18].</w:t>
      </w:r>
    </w:p>
    <w:p w14:paraId="0000001E" w14:textId="77777777" w:rsidR="00594F75" w:rsidRDefault="00000000">
      <w:pPr>
        <w:numPr>
          <w:ilvl w:val="0"/>
          <w:numId w:val="3"/>
        </w:numPr>
      </w:pPr>
      <w:r>
        <w:t>Binding EU regulations like the CSRD and EED expand gradually, bringing ever more firms into mandatory climate and supply chain disclosure. By 2028, around 50,000 EU companies and major non-EU subsidiaries will be covered [T-ENV-1-01], [T-ENV-1-04], [T-ENV-1-19].</w:t>
      </w:r>
    </w:p>
    <w:p w14:paraId="0000001F" w14:textId="77777777" w:rsidR="00594F75" w:rsidRDefault="00000000">
      <w:pPr>
        <w:numPr>
          <w:ilvl w:val="0"/>
          <w:numId w:val="3"/>
        </w:numPr>
      </w:pPr>
      <w:r>
        <w:t>By defining clear reduction targets such as the EED’s binding 11.7% by 2030, the EU accelerates energy savings and tighter supply-chain controls across the economy [T-ENV-1-17], [T-ENV-1-18].</w:t>
      </w:r>
    </w:p>
    <w:p w14:paraId="00000020" w14:textId="77777777" w:rsidR="00594F75" w:rsidRDefault="00594F75">
      <w:pPr>
        <w:ind w:left="720"/>
      </w:pPr>
    </w:p>
    <w:p w14:paraId="00000021" w14:textId="77777777" w:rsidR="00594F75" w:rsidRDefault="00000000">
      <w:pPr>
        <w:spacing w:after="200"/>
      </w:pPr>
      <w:r>
        <w:rPr>
          <w:b/>
          <w:color w:val="024EA2"/>
        </w:rPr>
        <w:t>Challenges:</w:t>
      </w:r>
    </w:p>
    <w:p w14:paraId="00000022" w14:textId="77777777" w:rsidR="00594F75" w:rsidRDefault="00000000">
      <w:pPr>
        <w:numPr>
          <w:ilvl w:val="0"/>
          <w:numId w:val="3"/>
        </w:numPr>
      </w:pPr>
      <w:r>
        <w:t>Enforcement gaps weaken EU regulations. Systematic non-compliance, inconsistent penalty regimes, and opaque infringement proceedings erode both credibility and deterrent effect. T-ENV-1-14]. As a result, the impact of binding rules is reduced.</w:t>
      </w:r>
    </w:p>
    <w:p w14:paraId="00000023" w14:textId="77777777" w:rsidR="00594F75" w:rsidRDefault="00000000">
      <w:pPr>
        <w:numPr>
          <w:ilvl w:val="0"/>
          <w:numId w:val="3"/>
        </w:numPr>
      </w:pPr>
      <w:r>
        <w:t>Strict regulation can raise compliance overhead and costs for companies, especially in capital-intensive sectors and for Small and Medium-sized Enterprises (SMEs). This discourages investment, slows growth, and shifts operations abroad [T-ENV-1-09].</w:t>
      </w:r>
    </w:p>
    <w:p w14:paraId="00000024" w14:textId="77777777" w:rsidR="00594F75" w:rsidRDefault="00000000">
      <w:pPr>
        <w:numPr>
          <w:ilvl w:val="0"/>
          <w:numId w:val="3"/>
        </w:numPr>
      </w:pPr>
      <w:r>
        <w:t>Companies face significant CSRD reporting hurdles: many lack reliable supply chain emissions data and the staff, expertise, or IT systems needed to meet the directive’s requirements [T-ENV-1-15].</w:t>
      </w:r>
    </w:p>
    <w:p w14:paraId="00000025" w14:textId="77777777" w:rsidR="00594F75" w:rsidRDefault="00594F75">
      <w:pPr>
        <w:spacing w:line="276" w:lineRule="auto"/>
        <w:ind w:left="720"/>
      </w:pPr>
    </w:p>
    <w:p w14:paraId="00000026" w14:textId="77777777" w:rsidR="00594F75" w:rsidRDefault="00000000">
      <w:pPr>
        <w:spacing w:after="200"/>
        <w:rPr>
          <w:b/>
          <w:color w:val="024EA2"/>
        </w:rPr>
      </w:pPr>
      <w:r>
        <w:rPr>
          <w:b/>
          <w:color w:val="024EA2"/>
        </w:rPr>
        <w:t xml:space="preserve">Impact on Digital Sovereignty: </w:t>
      </w:r>
    </w:p>
    <w:p w14:paraId="00000027" w14:textId="77777777" w:rsidR="00594F75" w:rsidRDefault="00000000">
      <w:pPr>
        <w:spacing w:after="200"/>
      </w:pPr>
      <w:r>
        <w:t>Climate directives reinforce Europe’s digital sovereignty by reducing dependencies that threaten critical infrastructure. The EED curbs energy demand growth in data centers and AI clusters, lowering import reliance. The CSRD and ESRS institutionalize supply-chain transparency, pushing firms to expose vulnerabilities in ICT hardware, semiconductors, and cloud services. While disclosure rules may remain compliance-driven in the short term, they gradually embed resilience thinking into governance. Overall, by aligning climate policy with sovereignty goals, the EU builds a framework that safeguards infrastructures against climate shocks and strengthens independence from external suppliers.</w:t>
      </w:r>
    </w:p>
    <w:p w14:paraId="00000028" w14:textId="77777777" w:rsidR="00594F75" w:rsidRDefault="00594F75">
      <w:pPr>
        <w:spacing w:after="200"/>
      </w:pPr>
    </w:p>
    <w:p w14:paraId="00000029" w14:textId="77777777" w:rsidR="00594F75" w:rsidRDefault="00000000">
      <w:pPr>
        <w:spacing w:after="200"/>
        <w:rPr>
          <w:b/>
          <w:color w:val="024EA2"/>
        </w:rPr>
      </w:pPr>
      <w:r>
        <w:rPr>
          <w:b/>
          <w:color w:val="024EA2"/>
        </w:rPr>
        <w:t xml:space="preserve"> </w:t>
      </w:r>
    </w:p>
    <w:p w14:paraId="0000002A" w14:textId="77777777" w:rsidR="00594F75" w:rsidRDefault="00594F75">
      <w:pPr>
        <w:spacing w:after="200"/>
        <w:rPr>
          <w:b/>
          <w:color w:val="024EA2"/>
        </w:rPr>
      </w:pPr>
    </w:p>
    <w:p w14:paraId="0000002B" w14:textId="77777777" w:rsidR="00594F75" w:rsidRDefault="00594F75">
      <w:pPr>
        <w:spacing w:after="200"/>
        <w:rPr>
          <w:b/>
          <w:color w:val="024EA2"/>
        </w:rPr>
      </w:pPr>
    </w:p>
    <w:p w14:paraId="0000002C" w14:textId="77777777" w:rsidR="00594F75" w:rsidRDefault="00594F75">
      <w:pPr>
        <w:spacing w:after="200"/>
        <w:rPr>
          <w:b/>
          <w:color w:val="024EA2"/>
        </w:rPr>
      </w:pPr>
    </w:p>
    <w:p w14:paraId="0000002D" w14:textId="77777777" w:rsidR="00594F75" w:rsidRDefault="00594F75">
      <w:pPr>
        <w:spacing w:after="200"/>
        <w:rPr>
          <w:b/>
          <w:color w:val="024EA2"/>
        </w:rPr>
      </w:pPr>
    </w:p>
    <w:p w14:paraId="0000002E" w14:textId="77777777" w:rsidR="00594F75" w:rsidRDefault="00594F75">
      <w:pPr>
        <w:spacing w:after="200"/>
        <w:rPr>
          <w:b/>
          <w:color w:val="024EA2"/>
        </w:rPr>
      </w:pPr>
    </w:p>
    <w:p w14:paraId="0000002F" w14:textId="77777777" w:rsidR="00594F75" w:rsidRDefault="00594F75">
      <w:pPr>
        <w:spacing w:before="240" w:after="240"/>
        <w:rPr>
          <w:color w:val="000000"/>
        </w:rPr>
      </w:pPr>
    </w:p>
    <w:p w14:paraId="00000030" w14:textId="77777777" w:rsidR="00594F75" w:rsidRDefault="00594F75">
      <w:pPr>
        <w:spacing w:after="200"/>
        <w:rPr>
          <w:color w:val="000000"/>
        </w:rPr>
      </w:pPr>
    </w:p>
    <w:p w14:paraId="00000031" w14:textId="77777777" w:rsidR="00594F75" w:rsidRDefault="00000000">
      <w:pPr>
        <w:spacing w:after="200"/>
      </w:pPr>
      <w:r>
        <w:rPr>
          <w:b/>
          <w:color w:val="024EA2"/>
        </w:rPr>
        <w:t>Sources</w:t>
      </w:r>
    </w:p>
    <w:p w14:paraId="00000032" w14:textId="77777777" w:rsidR="00594F75" w:rsidRDefault="00000000">
      <w:pPr>
        <w:spacing w:after="200"/>
        <w:jc w:val="left"/>
        <w:rPr>
          <w:color w:val="000000"/>
        </w:rPr>
      </w:pPr>
      <w:r>
        <w:rPr>
          <w:color w:val="000000"/>
        </w:rPr>
        <w:t xml:space="preserve">[T-ENV-1-01] </w:t>
      </w:r>
      <w:r>
        <w:t xml:space="preserve">European Commission. (n.d.). </w:t>
      </w:r>
      <w:r>
        <w:rPr>
          <w:i/>
        </w:rPr>
        <w:t>Corporate sustainability reporting (CSRD).</w:t>
      </w:r>
      <w:r>
        <w:t xml:space="preserve"> Retrieved August 31, 2025, from https://finance.ec.europa.eu/capital-markets-union-and-financial-markets/company-reporting-and-auditing/company-reporting/corporate-sustainability-reporting_en</w:t>
      </w:r>
    </w:p>
    <w:p w14:paraId="00000033" w14:textId="77777777" w:rsidR="00594F75" w:rsidRDefault="00000000">
      <w:pPr>
        <w:spacing w:after="200"/>
        <w:jc w:val="left"/>
        <w:rPr>
          <w:color w:val="000000"/>
        </w:rPr>
      </w:pPr>
      <w:r>
        <w:rPr>
          <w:color w:val="000000"/>
        </w:rPr>
        <w:t>[</w:t>
      </w:r>
      <w:r>
        <w:t>T-ENV-1-02</w:t>
      </w:r>
      <w:r>
        <w:rPr>
          <w:color w:val="000000"/>
        </w:rPr>
        <w:t xml:space="preserve">] </w:t>
      </w:r>
      <w:r>
        <w:t xml:space="preserve">Commission Delegated Regulation (EU) 2023/2772 of 31 July 2023 supplementing Directive 2013/34/EU as regards European Sustainability Reporting Standards (ESRS). (2023). </w:t>
      </w:r>
      <w:r>
        <w:rPr>
          <w:i/>
        </w:rPr>
        <w:t>Official Journal of the European Union.</w:t>
      </w:r>
      <w:r>
        <w:t xml:space="preserve"> https://eur-lex.europa.eu/eli/reg_del/2023/2772/oj/eng</w:t>
      </w:r>
      <w:r>
        <w:rPr>
          <w:color w:val="000000"/>
        </w:rPr>
        <w:t xml:space="preserve"> </w:t>
      </w:r>
    </w:p>
    <w:p w14:paraId="00000034" w14:textId="77777777" w:rsidR="00594F75" w:rsidRDefault="00000000">
      <w:pPr>
        <w:spacing w:after="200"/>
        <w:jc w:val="left"/>
        <w:rPr>
          <w:color w:val="000000"/>
        </w:rPr>
      </w:pPr>
      <w:r>
        <w:rPr>
          <w:color w:val="000000"/>
        </w:rPr>
        <w:t>[</w:t>
      </w:r>
      <w:r>
        <w:t>T-ENV-1-03</w:t>
      </w:r>
      <w:r>
        <w:rPr>
          <w:color w:val="000000"/>
        </w:rPr>
        <w:t xml:space="preserve">] </w:t>
      </w:r>
      <w:r>
        <w:t xml:space="preserve">European Commission. (n.d.). </w:t>
      </w:r>
      <w:r>
        <w:rPr>
          <w:i/>
        </w:rPr>
        <w:t>Energy Efficiency Directive.</w:t>
      </w:r>
      <w:r>
        <w:t xml:space="preserve"> Retrieved August 31, 2025, from https://energy.ec.europa.eu/topics/energy-efficiency/energy-efficiency-targets-directive-and-rules/energy-efficiency-directive_en</w:t>
      </w:r>
    </w:p>
    <w:p w14:paraId="00000035" w14:textId="77777777" w:rsidR="00594F75" w:rsidRDefault="00000000">
      <w:pPr>
        <w:spacing w:after="200"/>
        <w:jc w:val="left"/>
        <w:rPr>
          <w:color w:val="000000"/>
        </w:rPr>
      </w:pPr>
      <w:r>
        <w:rPr>
          <w:color w:val="000000"/>
        </w:rPr>
        <w:t>[</w:t>
      </w:r>
      <w:r>
        <w:t>T-ENV-1-04</w:t>
      </w:r>
      <w:r>
        <w:rPr>
          <w:color w:val="000000"/>
        </w:rPr>
        <w:t xml:space="preserve">] </w:t>
      </w:r>
      <w:r>
        <w:t xml:space="preserve">Commission Delegated Regulation (EU) 2024/1364 of 14 March 2024 on the first phase of a Union rating scheme for data centers (reporting mechanism and KPIs). (2024). </w:t>
      </w:r>
      <w:r>
        <w:rPr>
          <w:i/>
        </w:rPr>
        <w:t>Official Journal of the European Union.</w:t>
      </w:r>
      <w:r>
        <w:t xml:space="preserve"> https://eur-lex.europa.eu/legal-content/EN/TXT/PDF/?uri=OJ:L_202401364</w:t>
      </w:r>
    </w:p>
    <w:p w14:paraId="00000036" w14:textId="77777777" w:rsidR="00594F75" w:rsidRDefault="00000000">
      <w:pPr>
        <w:spacing w:after="200"/>
        <w:jc w:val="left"/>
        <w:rPr>
          <w:color w:val="000000"/>
        </w:rPr>
      </w:pPr>
      <w:r>
        <w:rPr>
          <w:color w:val="000000"/>
        </w:rPr>
        <w:t>[</w:t>
      </w:r>
      <w:r>
        <w:t>T-ENV-1-05</w:t>
      </w:r>
      <w:r>
        <w:rPr>
          <w:color w:val="000000"/>
        </w:rPr>
        <w:t xml:space="preserve">] Regulation (EU) 2023/2854 of 13 December 2023 on </w:t>
      </w:r>
      <w:proofErr w:type="spellStart"/>
      <w:r>
        <w:rPr>
          <w:color w:val="000000"/>
        </w:rPr>
        <w:t>harmonised</w:t>
      </w:r>
      <w:proofErr w:type="spellEnd"/>
      <w:r>
        <w:rPr>
          <w:color w:val="000000"/>
        </w:rPr>
        <w:t xml:space="preserve"> rules on fair access to and use of data (Data Act). (2023). </w:t>
      </w:r>
      <w:r>
        <w:rPr>
          <w:i/>
          <w:color w:val="000000"/>
        </w:rPr>
        <w:t>Official Journal of the European Union</w:t>
      </w:r>
      <w:r>
        <w:rPr>
          <w:color w:val="000000"/>
        </w:rPr>
        <w:t xml:space="preserve">. </w:t>
      </w:r>
      <w:hyperlink r:id="rId8">
        <w:r w:rsidR="00594F75">
          <w:rPr>
            <w:color w:val="000000"/>
          </w:rPr>
          <w:t>https://eur-lex.europa.eu/eli/reg/2023/2854/oj/eng</w:t>
        </w:r>
      </w:hyperlink>
      <w:r>
        <w:rPr>
          <w:color w:val="000000"/>
        </w:rPr>
        <w:t xml:space="preserve"> </w:t>
      </w:r>
    </w:p>
    <w:p w14:paraId="00000037" w14:textId="77777777" w:rsidR="00594F75" w:rsidRDefault="00000000">
      <w:pPr>
        <w:spacing w:after="200"/>
        <w:jc w:val="left"/>
        <w:rPr>
          <w:color w:val="000000"/>
        </w:rPr>
      </w:pPr>
      <w:r>
        <w:rPr>
          <w:color w:val="000000"/>
        </w:rPr>
        <w:t>[</w:t>
      </w:r>
      <w:r>
        <w:t>T-ENV-1-06</w:t>
      </w:r>
      <w:r>
        <w:rPr>
          <w:color w:val="000000"/>
        </w:rPr>
        <w:t xml:space="preserve">] European Commission. (2025, July 24). </w:t>
      </w:r>
      <w:r>
        <w:rPr>
          <w:i/>
          <w:color w:val="000000"/>
        </w:rPr>
        <w:t>Data Act explained</w:t>
      </w:r>
      <w:r>
        <w:rPr>
          <w:color w:val="000000"/>
        </w:rPr>
        <w:t xml:space="preserve">. </w:t>
      </w:r>
      <w:hyperlink r:id="rId9">
        <w:r w:rsidR="00594F75">
          <w:rPr>
            <w:color w:val="000000"/>
          </w:rPr>
          <w:t>https://digital-strategy.ec.europa.eu/en/factpages/data-act-explained</w:t>
        </w:r>
      </w:hyperlink>
      <w:r>
        <w:rPr>
          <w:color w:val="000000"/>
        </w:rPr>
        <w:t xml:space="preserve"> </w:t>
      </w:r>
    </w:p>
    <w:p w14:paraId="00000038" w14:textId="77777777" w:rsidR="00594F75" w:rsidRDefault="00000000">
      <w:pPr>
        <w:spacing w:after="200"/>
        <w:jc w:val="left"/>
        <w:rPr>
          <w:color w:val="000000"/>
        </w:rPr>
      </w:pPr>
      <w:r>
        <w:rPr>
          <w:color w:val="000000"/>
        </w:rPr>
        <w:t>[</w:t>
      </w:r>
      <w:r>
        <w:t>T-ENV-1-07</w:t>
      </w:r>
      <w:r>
        <w:rPr>
          <w:color w:val="000000"/>
        </w:rPr>
        <w:t xml:space="preserve">] International Organization for Standardization. (2023). </w:t>
      </w:r>
      <w:r>
        <w:rPr>
          <w:i/>
          <w:color w:val="000000"/>
        </w:rPr>
        <w:t>ISO/IEC 42001:2023—Information technology—Artificial intelligence—Management system</w:t>
      </w:r>
      <w:r>
        <w:rPr>
          <w:color w:val="000000"/>
        </w:rPr>
        <w:t xml:space="preserve">. Retrieved August 31, 2025, from </w:t>
      </w:r>
      <w:hyperlink r:id="rId10">
        <w:r w:rsidR="00594F75">
          <w:rPr>
            <w:color w:val="000000"/>
          </w:rPr>
          <w:t>https://www.iso.org/obp/ui/en/</w:t>
        </w:r>
      </w:hyperlink>
      <w:r>
        <w:rPr>
          <w:color w:val="000000"/>
        </w:rPr>
        <w:t xml:space="preserve"> </w:t>
      </w:r>
    </w:p>
    <w:p w14:paraId="00000039" w14:textId="77777777" w:rsidR="00594F75" w:rsidRDefault="00000000">
      <w:pPr>
        <w:spacing w:after="200"/>
        <w:jc w:val="left"/>
        <w:rPr>
          <w:color w:val="000000"/>
        </w:rPr>
      </w:pPr>
      <w:r>
        <w:rPr>
          <w:color w:val="000000"/>
        </w:rPr>
        <w:t>[</w:t>
      </w:r>
      <w:r>
        <w:t>T-ENV-1-08</w:t>
      </w:r>
      <w:r>
        <w:rPr>
          <w:color w:val="000000"/>
        </w:rPr>
        <w:t xml:space="preserve">] Regulation (EU) 2024/1689 of 13 June 2024 laying down </w:t>
      </w:r>
      <w:proofErr w:type="spellStart"/>
      <w:r>
        <w:rPr>
          <w:color w:val="000000"/>
        </w:rPr>
        <w:t>harmonised</w:t>
      </w:r>
      <w:proofErr w:type="spellEnd"/>
      <w:r>
        <w:rPr>
          <w:color w:val="000000"/>
        </w:rPr>
        <w:t xml:space="preserve"> rules on artificial intelligence (AI Act). (2024). </w:t>
      </w:r>
      <w:r>
        <w:rPr>
          <w:i/>
          <w:color w:val="000000"/>
        </w:rPr>
        <w:t>Official Journal of the European Union</w:t>
      </w:r>
      <w:r>
        <w:rPr>
          <w:color w:val="000000"/>
        </w:rPr>
        <w:t xml:space="preserve">. </w:t>
      </w:r>
      <w:hyperlink r:id="rId11">
        <w:r w:rsidR="00594F75">
          <w:rPr>
            <w:color w:val="000000"/>
          </w:rPr>
          <w:t>https://eur-lex.europa.eu/legal-content/EN/TXT/PDF/?uri=OJ:L_202401689</w:t>
        </w:r>
      </w:hyperlink>
      <w:r>
        <w:rPr>
          <w:color w:val="000000"/>
        </w:rPr>
        <w:t xml:space="preserve"> </w:t>
      </w:r>
    </w:p>
    <w:p w14:paraId="0000003A" w14:textId="77777777" w:rsidR="00594F75" w:rsidRDefault="00000000">
      <w:pPr>
        <w:spacing w:after="200"/>
        <w:jc w:val="left"/>
        <w:rPr>
          <w:color w:val="000000"/>
        </w:rPr>
      </w:pPr>
      <w:r>
        <w:rPr>
          <w:color w:val="000000"/>
        </w:rPr>
        <w:t>[</w:t>
      </w:r>
      <w:r>
        <w:t>T-ENV-1-09</w:t>
      </w:r>
      <w:r>
        <w:rPr>
          <w:color w:val="000000"/>
        </w:rPr>
        <w:t xml:space="preserve">] Rzepecka, J., </w:t>
      </w:r>
      <w:proofErr w:type="spellStart"/>
      <w:r>
        <w:rPr>
          <w:color w:val="000000"/>
        </w:rPr>
        <w:t>Fuksiewicz</w:t>
      </w:r>
      <w:proofErr w:type="spellEnd"/>
      <w:r>
        <w:rPr>
          <w:color w:val="000000"/>
        </w:rPr>
        <w:t xml:space="preserve">, A., Squillante, F., </w:t>
      </w:r>
      <w:proofErr w:type="spellStart"/>
      <w:r>
        <w:rPr>
          <w:color w:val="000000"/>
        </w:rPr>
        <w:t>Alijošius</w:t>
      </w:r>
      <w:proofErr w:type="spellEnd"/>
      <w:r>
        <w:rPr>
          <w:color w:val="000000"/>
        </w:rPr>
        <w:t xml:space="preserve">, L., </w:t>
      </w:r>
      <w:proofErr w:type="spellStart"/>
      <w:r>
        <w:rPr>
          <w:color w:val="000000"/>
        </w:rPr>
        <w:t>Godlovitch</w:t>
      </w:r>
      <w:proofErr w:type="spellEnd"/>
      <w:r>
        <w:rPr>
          <w:color w:val="000000"/>
        </w:rPr>
        <w:t xml:space="preserve">, I., Stamm, P., </w:t>
      </w:r>
      <w:proofErr w:type="spellStart"/>
      <w:r>
        <w:rPr>
          <w:color w:val="000000"/>
        </w:rPr>
        <w:t>Wielgosch</w:t>
      </w:r>
      <w:proofErr w:type="spellEnd"/>
      <w:r>
        <w:rPr>
          <w:color w:val="000000"/>
        </w:rPr>
        <w:t xml:space="preserve">, J., &amp; Lundborg, M. (2024). The impact of EU legislation </w:t>
      </w:r>
      <w:proofErr w:type="gramStart"/>
      <w:r>
        <w:rPr>
          <w:color w:val="000000"/>
        </w:rPr>
        <w:t>in the area of</w:t>
      </w:r>
      <w:proofErr w:type="gramEnd"/>
      <w:r>
        <w:rPr>
          <w:color w:val="000000"/>
        </w:rPr>
        <w:t xml:space="preserve"> digital and green transition, particularly on SMEs: Study requested by the IMCO Committee. Publications Office of the European Union. https://doi.org/10.2861/5296842</w:t>
      </w:r>
    </w:p>
    <w:p w14:paraId="0000003B" w14:textId="77777777" w:rsidR="00594F75" w:rsidRDefault="00000000">
      <w:pPr>
        <w:spacing w:after="200"/>
        <w:jc w:val="left"/>
        <w:rPr>
          <w:color w:val="000000"/>
        </w:rPr>
      </w:pPr>
      <w:r>
        <w:rPr>
          <w:color w:val="000000"/>
        </w:rPr>
        <w:t>[</w:t>
      </w:r>
      <w:r>
        <w:t>T-ENV-1-10</w:t>
      </w:r>
      <w:r>
        <w:rPr>
          <w:color w:val="000000"/>
        </w:rPr>
        <w:t xml:space="preserve">] European Commission. (n.d.). </w:t>
      </w:r>
      <w:r>
        <w:rPr>
          <w:i/>
          <w:color w:val="000000"/>
        </w:rPr>
        <w:t>Digital skills—Shaping Europe’s digital future</w:t>
      </w:r>
      <w:r>
        <w:rPr>
          <w:color w:val="000000"/>
        </w:rPr>
        <w:t xml:space="preserve">. Retrieved August 31, 2025, from </w:t>
      </w:r>
      <w:hyperlink r:id="rId12">
        <w:r w:rsidR="00594F75">
          <w:rPr>
            <w:color w:val="000000"/>
          </w:rPr>
          <w:t>https://digital-strategy.ec.europa.eu/en/policies/digital-skills</w:t>
        </w:r>
      </w:hyperlink>
      <w:r>
        <w:rPr>
          <w:color w:val="000000"/>
        </w:rPr>
        <w:t xml:space="preserve"> </w:t>
      </w:r>
    </w:p>
    <w:p w14:paraId="0000003C" w14:textId="77777777" w:rsidR="00594F75" w:rsidRPr="00E73CE9" w:rsidRDefault="00000000">
      <w:pPr>
        <w:spacing w:after="200"/>
        <w:jc w:val="left"/>
        <w:rPr>
          <w:color w:val="000000"/>
          <w:lang w:val="de-DE"/>
        </w:rPr>
      </w:pPr>
      <w:r>
        <w:rPr>
          <w:color w:val="000000"/>
        </w:rPr>
        <w:t>[</w:t>
      </w:r>
      <w:r>
        <w:t>T-ENV-1-11</w:t>
      </w:r>
      <w:r>
        <w:rPr>
          <w:color w:val="000000"/>
        </w:rPr>
        <w:t xml:space="preserve">] Eurostat. (2024). </w:t>
      </w:r>
      <w:r>
        <w:rPr>
          <w:i/>
          <w:color w:val="000000"/>
        </w:rPr>
        <w:t>Towards Digital Decade targets for Europe (Statistics Explained)</w:t>
      </w:r>
      <w:r>
        <w:rPr>
          <w:color w:val="000000"/>
        </w:rPr>
        <w:t xml:space="preserve">. </w:t>
      </w:r>
      <w:r w:rsidRPr="00E73CE9">
        <w:rPr>
          <w:color w:val="000000"/>
          <w:lang w:val="de-DE"/>
        </w:rPr>
        <w:t xml:space="preserve">Eurostat. </w:t>
      </w:r>
      <w:hyperlink r:id="rId13">
        <w:r w:rsidR="00594F75" w:rsidRPr="00E73CE9">
          <w:rPr>
            <w:color w:val="000000"/>
            <w:lang w:val="de-DE"/>
          </w:rPr>
          <w:t>https://ec.europa.eu/eurostat/statistics-explained/index.php?title=Towards_Digital_Decade_targets_for_Europe</w:t>
        </w:r>
      </w:hyperlink>
      <w:r w:rsidRPr="00E73CE9">
        <w:rPr>
          <w:color w:val="000000"/>
          <w:lang w:val="de-DE"/>
        </w:rPr>
        <w:t xml:space="preserve"> </w:t>
      </w:r>
    </w:p>
    <w:p w14:paraId="0000003D" w14:textId="77777777" w:rsidR="00594F75" w:rsidRDefault="00000000">
      <w:pPr>
        <w:spacing w:after="200"/>
        <w:jc w:val="left"/>
        <w:rPr>
          <w:color w:val="000000"/>
        </w:rPr>
      </w:pPr>
      <w:r>
        <w:rPr>
          <w:color w:val="000000"/>
        </w:rPr>
        <w:t>[</w:t>
      </w:r>
      <w:r>
        <w:t>T-ENV-1-12</w:t>
      </w:r>
      <w:r>
        <w:rPr>
          <w:color w:val="000000"/>
        </w:rPr>
        <w:t xml:space="preserve">] </w:t>
      </w:r>
      <w:proofErr w:type="spellStart"/>
      <w:r>
        <w:rPr>
          <w:color w:val="000000"/>
        </w:rPr>
        <w:t>Scrut</w:t>
      </w:r>
      <w:proofErr w:type="spellEnd"/>
      <w:r>
        <w:rPr>
          <w:color w:val="000000"/>
        </w:rPr>
        <w:t>. (2025). How to master SaaS compliance in 2025: Essential checklist &amp; guide. https://www.scrut.io/post/saas-compliance</w:t>
      </w:r>
    </w:p>
    <w:p w14:paraId="0000003E" w14:textId="77777777" w:rsidR="00594F75" w:rsidRDefault="00000000">
      <w:pPr>
        <w:pStyle w:val="Heading1"/>
        <w:spacing w:after="200"/>
      </w:pPr>
      <w:bookmarkStart w:id="2" w:name="_heading=h.mhm1ozmgyd25" w:colFirst="0" w:colLast="0"/>
      <w:bookmarkEnd w:id="2"/>
      <w:r>
        <w:rPr>
          <w:color w:val="000000"/>
        </w:rPr>
        <w:t>13-18 are in excel</w:t>
      </w:r>
      <w:r>
        <w:br w:type="page"/>
      </w:r>
    </w:p>
    <w:p w14:paraId="0000003F" w14:textId="77777777" w:rsidR="00594F75" w:rsidRDefault="00000000">
      <w:pPr>
        <w:pStyle w:val="Heading1"/>
        <w:numPr>
          <w:ilvl w:val="0"/>
          <w:numId w:val="1"/>
        </w:numPr>
        <w:spacing w:after="200"/>
      </w:pPr>
      <w:bookmarkStart w:id="3" w:name="_heading=h.l762oitzkaal" w:colFirst="0" w:colLast="0"/>
      <w:bookmarkEnd w:id="3"/>
      <w:r>
        <w:lastRenderedPageBreak/>
        <w:t>Enabling Circular Tech Lifecycles</w:t>
      </w:r>
      <w:r>
        <w:rPr>
          <w:color w:val="FF0000"/>
        </w:rPr>
        <w:t xml:space="preserve"> </w:t>
      </w:r>
    </w:p>
    <w:p w14:paraId="00000040" w14:textId="77777777" w:rsidR="00594F75" w:rsidRDefault="00000000">
      <w:pPr>
        <w:spacing w:after="200"/>
        <w:rPr>
          <w:b/>
          <w:color w:val="000000"/>
          <w:sz w:val="18"/>
          <w:szCs w:val="18"/>
        </w:rPr>
      </w:pPr>
      <w:r>
        <w:rPr>
          <w:b/>
          <w:color w:val="000000"/>
          <w:sz w:val="18"/>
          <w:szCs w:val="18"/>
        </w:rPr>
        <w:t xml:space="preserve">Recovering Critical Materials </w:t>
      </w:r>
      <w:proofErr w:type="gramStart"/>
      <w:r>
        <w:rPr>
          <w:b/>
          <w:color w:val="000000"/>
          <w:sz w:val="18"/>
          <w:szCs w:val="18"/>
        </w:rPr>
        <w:t>From</w:t>
      </w:r>
      <w:proofErr w:type="gramEnd"/>
      <w:r>
        <w:rPr>
          <w:b/>
          <w:color w:val="000000"/>
          <w:sz w:val="18"/>
          <w:szCs w:val="18"/>
        </w:rPr>
        <w:t xml:space="preserve"> E-Waste and Extending Device Lifespans</w:t>
      </w:r>
    </w:p>
    <w:p w14:paraId="00000041" w14:textId="77777777" w:rsidR="00594F75" w:rsidRDefault="00000000">
      <w:pPr>
        <w:spacing w:before="240" w:after="240"/>
      </w:pPr>
      <w:r>
        <w:t>Europe’s reliance on rare earths and lithium is a strategic vulnerability, with over 90% of processing concentrated in China [T-ENV-2-10]. These critical materials, essential for GPUs, batteries, and servers, pose not only geopolitical risks but also environmental challenges, further compounding Europe’s risk profile [T-ENV-2-07], [T-ENV-2-08]. EU sustainability rules, like the EED, raise requirements to reduce the footprint of hardware production. Yet most devices are replaced every 3–5 years, even though many components remain functional for up to a decade [T-ENV-2-01]. This practice accelerates e-waste, which reached 62M tons in 2022 and is projected to rise to 82M tons by 2030, with only 22% formally recycled [T-ENV-2-02], [T-ENV-2-03]. Together, dependence, environmental impacts, and rising waste push Europe toward circular approaches. These approaches enable the recovery of rare-earth magnets and battery materials, potentially covering up to 20% of Europe’s rare-earth demand by 2030, while cutting emissions compared with primary raw material extraction [T-ENV-2-05], [T-ENV-2-06], [T-ENV-2-08].</w:t>
      </w:r>
    </w:p>
    <w:bookmarkStart w:id="4" w:name="_heading=h.vcg6fkobf9n" w:colFirst="0" w:colLast="0" w:displacedByCustomXml="next"/>
    <w:bookmarkEnd w:id="4" w:displacedByCustomXml="next"/>
    <w:sdt>
      <w:sdtPr>
        <w:tag w:val="goog_rdk_0"/>
        <w:id w:val="-549372619"/>
      </w:sdtPr>
      <w:sdtContent>
        <w:p w14:paraId="00000042" w14:textId="77777777" w:rsidR="00594F75" w:rsidRDefault="00000000">
          <w:pPr>
            <w:pStyle w:val="Heading3"/>
            <w:keepNext w:val="0"/>
            <w:keepLines w:val="0"/>
            <w:spacing w:before="0"/>
          </w:pPr>
          <w:r>
            <w:rPr>
              <w:rFonts w:ascii="Avenir" w:eastAsia="Avenir" w:hAnsi="Avenir" w:cs="Avenir"/>
              <w:b/>
              <w:color w:val="024EA2"/>
              <w:sz w:val="15"/>
              <w:szCs w:val="15"/>
            </w:rPr>
            <w:t>Facts:</w:t>
          </w:r>
        </w:p>
      </w:sdtContent>
    </w:sdt>
    <w:p w14:paraId="00000043"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Less than 41% of Waste from Electrical and Electronic Equipment (WEEE) is collected in the EU, far below the 65% collection target set by the WEEE Directive [T-ENV-2-05].</w:t>
      </w:r>
    </w:p>
    <w:p w14:paraId="00000044"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Rare earth recycling rates in Europe remain below 1%, but research and pilot projects are advancing recovery technologies for materials such as neodymium, dysprosium, praseodymium, and lithium, laying the groundwork for increased circularity in the future [T-ENV-2-06].</w:t>
      </w:r>
    </w:p>
    <w:p w14:paraId="00000045"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EU deposit-return schemes can raise return rates for small devices from below 5% today to as high as 62%, significantly increasing available resources for reuse and recycling [T-ENV-2-05], [T-ENV-2-05].</w:t>
      </w:r>
    </w:p>
    <w:p w14:paraId="00000046" w14:textId="77777777" w:rsidR="00594F75" w:rsidRDefault="00594F75">
      <w:pPr>
        <w:pBdr>
          <w:top w:val="none" w:sz="0" w:space="0" w:color="auto"/>
          <w:left w:val="none" w:sz="0" w:space="0" w:color="auto"/>
          <w:bottom w:val="none" w:sz="0" w:space="0" w:color="auto"/>
          <w:right w:val="none" w:sz="0" w:space="0" w:color="auto"/>
          <w:between w:val="none" w:sz="0" w:space="0" w:color="auto"/>
        </w:pBdr>
        <w:jc w:val="left"/>
      </w:pPr>
    </w:p>
    <w:bookmarkStart w:id="5" w:name="_heading=h.t464ud7gvys6" w:colFirst="0" w:colLast="0" w:displacedByCustomXml="next"/>
    <w:bookmarkEnd w:id="5" w:displacedByCustomXml="next"/>
    <w:sdt>
      <w:sdtPr>
        <w:tag w:val="goog_rdk_1"/>
        <w:id w:val="1119424009"/>
      </w:sdtPr>
      <w:sdtContent>
        <w:p w14:paraId="00000047" w14:textId="77777777" w:rsidR="00594F75" w:rsidRDefault="00000000">
          <w:pPr>
            <w:pStyle w:val="Heading3"/>
            <w:keepNext w:val="0"/>
            <w:keepLines w:val="0"/>
            <w:widowControl w:val="0"/>
            <w:spacing w:before="0"/>
            <w:rPr>
              <w:rFonts w:ascii="Avenir" w:eastAsia="Avenir" w:hAnsi="Avenir" w:cs="Avenir"/>
              <w:b/>
              <w:sz w:val="18"/>
              <w:szCs w:val="18"/>
            </w:rPr>
          </w:pPr>
          <w:r>
            <w:rPr>
              <w:rFonts w:ascii="Avenir" w:eastAsia="Avenir" w:hAnsi="Avenir" w:cs="Avenir"/>
              <w:b/>
              <w:color w:val="024EA2"/>
              <w:sz w:val="15"/>
              <w:szCs w:val="15"/>
            </w:rPr>
            <w:t>Key Drivers:</w:t>
          </w:r>
        </w:p>
      </w:sdtContent>
    </w:sdt>
    <w:p w14:paraId="00000048"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The Critical Raw Materials Act (CRMA) requires that by 2030, at least 25% of EU demand for strategic raw materials must be met through recycling [T-ENV-2-08].</w:t>
      </w:r>
    </w:p>
    <w:p w14:paraId="00000049"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With 90% of rare earth processing concentrated in China, Europe faces supply risks due to export restrictions [T-ENV-2-07].</w:t>
      </w:r>
    </w:p>
    <w:p w14:paraId="0000004A"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Advances in recycling technology and successful deposit-return pilots show that large-scale circularity of electronics is becoming technically feasible and socially accepted [T-ENV-2-05], [T-ENV-2-06].</w:t>
      </w:r>
    </w:p>
    <w:p w14:paraId="0000004B"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The Digital Product Passport embeds data on composition, repair, and recycling, extending product lifetimes, improving recovery of critical materials, and incentivizing circular design [T-ENV-2-07], [T-ENV-2-08].</w:t>
      </w:r>
    </w:p>
    <w:p w14:paraId="0000004C" w14:textId="77777777" w:rsidR="00594F75" w:rsidRDefault="00594F75">
      <w:pPr>
        <w:pBdr>
          <w:top w:val="none" w:sz="0" w:space="0" w:color="auto"/>
          <w:left w:val="none" w:sz="0" w:space="0" w:color="auto"/>
          <w:bottom w:val="none" w:sz="0" w:space="0" w:color="auto"/>
          <w:right w:val="none" w:sz="0" w:space="0" w:color="auto"/>
          <w:between w:val="none" w:sz="0" w:space="0" w:color="auto"/>
        </w:pBdr>
        <w:jc w:val="left"/>
      </w:pPr>
    </w:p>
    <w:bookmarkStart w:id="6" w:name="_heading=h.t7ga9ze52e9g" w:colFirst="0" w:colLast="0" w:displacedByCustomXml="next"/>
    <w:bookmarkEnd w:id="6" w:displacedByCustomXml="next"/>
    <w:sdt>
      <w:sdtPr>
        <w:tag w:val="goog_rdk_2"/>
        <w:id w:val="-1824223265"/>
      </w:sdtPr>
      <w:sdtContent>
        <w:p w14:paraId="0000004D" w14:textId="77777777" w:rsidR="00594F75" w:rsidRDefault="00000000">
          <w:pPr>
            <w:pStyle w:val="Heading3"/>
            <w:keepNext w:val="0"/>
            <w:keepLines w:val="0"/>
            <w:spacing w:before="0"/>
            <w:rPr>
              <w:rFonts w:ascii="Avenir" w:eastAsia="Avenir" w:hAnsi="Avenir" w:cs="Avenir"/>
              <w:b/>
              <w:sz w:val="18"/>
              <w:szCs w:val="18"/>
            </w:rPr>
          </w:pPr>
          <w:r>
            <w:rPr>
              <w:rFonts w:ascii="Avenir" w:eastAsia="Avenir" w:hAnsi="Avenir" w:cs="Avenir"/>
              <w:b/>
              <w:color w:val="024EA2"/>
              <w:sz w:val="15"/>
              <w:szCs w:val="15"/>
            </w:rPr>
            <w:t>Challenges:</w:t>
          </w:r>
        </w:p>
      </w:sdtContent>
    </w:sdt>
    <w:p w14:paraId="0000004E"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Large volumes of e-waste escape formal collection and recycling as many devices are kept unused in homes and workplaces, while rapid replacement cycles accelerate waste streams [T-ENV-2-05], [T-ENV-2-09].</w:t>
      </w:r>
    </w:p>
    <w:p w14:paraId="0000004F"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Disassembly remains technically complex, and many pilot projects are not yet commercially viable. High upfront investment and long lead times for recycling technologies and infrastructure further delay the move to industrial scale [T-ENV-2-03], [T-ENV-2-06].</w:t>
      </w:r>
    </w:p>
    <w:p w14:paraId="00000050" w14:textId="0B40525D"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Chinese firms are expanding into Europe’s recycling market, risking external dominance over the very capacity meant to reduce dependence [T-ENV-2-0</w:t>
      </w:r>
      <w:r w:rsidR="00E73CE9">
        <w:t>7</w:t>
      </w:r>
      <w:r>
        <w:t>].</w:t>
      </w:r>
    </w:p>
    <w:p w14:paraId="00000051" w14:textId="77777777" w:rsidR="00594F75" w:rsidRDefault="00594F75">
      <w:pPr>
        <w:pBdr>
          <w:top w:val="none" w:sz="0" w:space="0" w:color="auto"/>
          <w:left w:val="none" w:sz="0" w:space="0" w:color="auto"/>
          <w:bottom w:val="none" w:sz="0" w:space="0" w:color="auto"/>
          <w:right w:val="none" w:sz="0" w:space="0" w:color="auto"/>
          <w:between w:val="none" w:sz="0" w:space="0" w:color="auto"/>
        </w:pBdr>
        <w:jc w:val="left"/>
      </w:pPr>
    </w:p>
    <w:p w14:paraId="00000052" w14:textId="77777777" w:rsidR="00594F75" w:rsidRDefault="00594F75">
      <w:pPr>
        <w:pBdr>
          <w:top w:val="none" w:sz="0" w:space="0" w:color="auto"/>
          <w:left w:val="none" w:sz="0" w:space="0" w:color="auto"/>
          <w:bottom w:val="none" w:sz="0" w:space="0" w:color="auto"/>
          <w:right w:val="none" w:sz="0" w:space="0" w:color="auto"/>
          <w:between w:val="none" w:sz="0" w:space="0" w:color="auto"/>
        </w:pBdr>
        <w:ind w:left="720"/>
        <w:jc w:val="left"/>
      </w:pPr>
    </w:p>
    <w:bookmarkStart w:id="7" w:name="_heading=h.825hvgevr5ky" w:colFirst="0" w:colLast="0" w:displacedByCustomXml="next"/>
    <w:bookmarkEnd w:id="7" w:displacedByCustomXml="next"/>
    <w:sdt>
      <w:sdtPr>
        <w:tag w:val="goog_rdk_3"/>
        <w:id w:val="464790586"/>
      </w:sdtPr>
      <w:sdtContent>
        <w:p w14:paraId="00000053" w14:textId="77777777" w:rsidR="00594F75" w:rsidRDefault="00000000">
          <w:pPr>
            <w:pStyle w:val="Heading3"/>
            <w:keepNext w:val="0"/>
            <w:keepLines w:val="0"/>
            <w:spacing w:before="0"/>
          </w:pPr>
          <w:r>
            <w:rPr>
              <w:rFonts w:ascii="Avenir" w:eastAsia="Avenir" w:hAnsi="Avenir" w:cs="Avenir"/>
              <w:b/>
              <w:color w:val="024EA2"/>
              <w:sz w:val="15"/>
              <w:szCs w:val="15"/>
            </w:rPr>
            <w:t>Impact on Digital Sovereignty:</w:t>
          </w:r>
        </w:p>
      </w:sdtContent>
    </w:sdt>
    <w:p w14:paraId="00000054" w14:textId="77777777" w:rsidR="00594F75" w:rsidRDefault="00000000">
      <w:pPr>
        <w:spacing w:after="200"/>
      </w:pPr>
      <w:r>
        <w:t>Circular lifecycles for hardware products can secure critical inputs for batteries, GPUs, and servers that underpin Europe’s digital infrastructure. Expanding deposit-return schemes, robotic disassembly, and magnet recycling can turn e-waste into a domestic resource stream, reducing reliance on Chinese rare earth supply and keeping value-added processing in Europe. As an additional benefit, recycling critical materials lowers emissions relative to primary production. In the long term, embedding critical materials recovery and processing in Europe’s industrial base will reduce dependence, reinforce competitiveness, and thus strengthen digital sovereignty.</w:t>
      </w:r>
    </w:p>
    <w:p w14:paraId="00000055" w14:textId="77777777" w:rsidR="00594F75" w:rsidRDefault="00594F75">
      <w:pPr>
        <w:spacing w:after="200"/>
      </w:pPr>
    </w:p>
    <w:p w14:paraId="00000056" w14:textId="77777777" w:rsidR="00594F75" w:rsidRDefault="00594F75">
      <w:pPr>
        <w:spacing w:after="200"/>
      </w:pPr>
    </w:p>
    <w:p w14:paraId="00000057" w14:textId="77777777" w:rsidR="00594F75" w:rsidRDefault="00594F75">
      <w:pPr>
        <w:spacing w:after="200"/>
      </w:pPr>
    </w:p>
    <w:p w14:paraId="00000058" w14:textId="77777777" w:rsidR="00594F75" w:rsidRDefault="00594F75">
      <w:pPr>
        <w:spacing w:after="200"/>
      </w:pPr>
    </w:p>
    <w:p w14:paraId="00000059" w14:textId="77777777" w:rsidR="00594F75" w:rsidRDefault="00594F75">
      <w:pPr>
        <w:spacing w:after="200"/>
      </w:pPr>
    </w:p>
    <w:p w14:paraId="0000005A" w14:textId="77777777" w:rsidR="00594F75" w:rsidRDefault="00594F75">
      <w:pPr>
        <w:spacing w:after="200"/>
      </w:pPr>
    </w:p>
    <w:p w14:paraId="0000005B" w14:textId="77777777" w:rsidR="00594F75" w:rsidRDefault="00594F75">
      <w:pPr>
        <w:spacing w:after="200"/>
      </w:pPr>
    </w:p>
    <w:p w14:paraId="0000005C" w14:textId="77777777" w:rsidR="00594F75" w:rsidRDefault="00594F75">
      <w:pPr>
        <w:spacing w:after="200"/>
      </w:pPr>
    </w:p>
    <w:p w14:paraId="0000005D" w14:textId="77777777" w:rsidR="00594F75" w:rsidRDefault="00594F75">
      <w:pPr>
        <w:spacing w:after="200"/>
      </w:pPr>
    </w:p>
    <w:p w14:paraId="0000005E" w14:textId="77777777" w:rsidR="00594F75" w:rsidRDefault="00594F75">
      <w:pPr>
        <w:spacing w:after="200"/>
      </w:pPr>
    </w:p>
    <w:p w14:paraId="0000005F" w14:textId="77777777" w:rsidR="00594F75" w:rsidRDefault="00594F75">
      <w:pPr>
        <w:spacing w:after="200"/>
      </w:pPr>
    </w:p>
    <w:p w14:paraId="00000060" w14:textId="77777777" w:rsidR="00594F75" w:rsidRDefault="00594F75">
      <w:pPr>
        <w:spacing w:after="200"/>
      </w:pPr>
    </w:p>
    <w:p w14:paraId="00000061" w14:textId="77777777" w:rsidR="00594F75" w:rsidRDefault="00000000">
      <w:pPr>
        <w:spacing w:after="200"/>
        <w:rPr>
          <w:b/>
        </w:rPr>
      </w:pPr>
      <w:r>
        <w:rPr>
          <w:b/>
          <w:color w:val="024EA2"/>
        </w:rPr>
        <w:t>Sources:</w:t>
      </w:r>
    </w:p>
    <w:p w14:paraId="00000062" w14:textId="77777777" w:rsidR="00594F75" w:rsidRDefault="00000000">
      <w:pPr>
        <w:spacing w:after="200"/>
        <w:jc w:val="left"/>
      </w:pPr>
      <w:r>
        <w:rPr>
          <w:b/>
        </w:rPr>
        <w:t>[T-ENV-2-01]</w:t>
      </w:r>
      <w:r>
        <w:t xml:space="preserve"> UNECE. (2025, Aug 4). </w:t>
      </w:r>
      <w:r>
        <w:rPr>
          <w:i/>
        </w:rPr>
        <w:t>Intersection between large-scale digitalization and environmental sustainability: an overview of use and impact of data centers (GEEE-12/2025/INF.2)</w:t>
      </w:r>
      <w:r>
        <w:t>.</w:t>
      </w:r>
      <w:hyperlink r:id="rId14">
        <w:r w:rsidR="00594F75">
          <w:t xml:space="preserve"> https://unece.org/sites/default/files/2025-08/GEEE-12.2025.INF_.2%20-%20Sustainability_data.centers.pdf</w:t>
        </w:r>
      </w:hyperlink>
    </w:p>
    <w:p w14:paraId="00000063" w14:textId="77777777" w:rsidR="00594F75" w:rsidRDefault="00000000">
      <w:pPr>
        <w:spacing w:after="200"/>
        <w:jc w:val="left"/>
      </w:pPr>
      <w:r>
        <w:rPr>
          <w:b/>
        </w:rPr>
        <w:t>[T-ENV-2-02]</w:t>
      </w:r>
      <w:r>
        <w:t xml:space="preserve"> ITU/UNITAR. (2024). </w:t>
      </w:r>
      <w:r>
        <w:rPr>
          <w:i/>
        </w:rPr>
        <w:t>The Global E-waste Monitor 2024</w:t>
      </w:r>
      <w:r>
        <w:t>.</w:t>
      </w:r>
      <w:hyperlink r:id="rId15">
        <w:r w:rsidR="00594F75">
          <w:t xml:space="preserve"> https://ewastemonitor.info/the-global-e-waste-monitor-2024</w:t>
        </w:r>
      </w:hyperlink>
      <w:r>
        <w:t xml:space="preserve">/ </w:t>
      </w:r>
    </w:p>
    <w:p w14:paraId="00000064" w14:textId="77777777" w:rsidR="00594F75" w:rsidRDefault="00000000">
      <w:pPr>
        <w:spacing w:after="200"/>
        <w:jc w:val="left"/>
      </w:pPr>
      <w:r>
        <w:rPr>
          <w:b/>
        </w:rPr>
        <w:t>[T-ENV-2-03]</w:t>
      </w:r>
      <w:r>
        <w:t xml:space="preserve"> ITU. (2024). Press release: </w:t>
      </w:r>
      <w:r>
        <w:rPr>
          <w:i/>
        </w:rPr>
        <w:t>A record 62 Mt of e-waste in 2022; only ~1% of REE demand met by recycling</w:t>
      </w:r>
      <w:r>
        <w:t>.</w:t>
      </w:r>
      <w:hyperlink r:id="rId16">
        <w:r w:rsidR="00594F75">
          <w:t xml:space="preserve"> https://www.itu.int/en/mediacentre/Pages/PR-2024-03-20-e-waste-recycling.aspx</w:t>
        </w:r>
      </w:hyperlink>
    </w:p>
    <w:p w14:paraId="00000065" w14:textId="77777777" w:rsidR="00594F75" w:rsidRDefault="00000000">
      <w:pPr>
        <w:spacing w:after="200"/>
        <w:jc w:val="left"/>
      </w:pPr>
      <w:r>
        <w:rPr>
          <w:b/>
        </w:rPr>
        <w:t>[T-ENV-2-04]</w:t>
      </w:r>
      <w:r>
        <w:t xml:space="preserve"> </w:t>
      </w:r>
      <w:proofErr w:type="spellStart"/>
      <w:r>
        <w:t>DataCenterDynamics</w:t>
      </w:r>
      <w:proofErr w:type="spellEnd"/>
      <w:r>
        <w:t xml:space="preserve">. (2022, Mar 8). </w:t>
      </w:r>
      <w:r>
        <w:rPr>
          <w:i/>
        </w:rPr>
        <w:t>Re-use, refurb, recycle: Circular economy and data center IT assets</w:t>
      </w:r>
      <w:r>
        <w:t>.</w:t>
      </w:r>
      <w:hyperlink r:id="rId17">
        <w:r w:rsidR="00594F75">
          <w:t xml:space="preserve"> https://www.datacenterdynamics.com/en/analysis/re-use-refurb-recycle-circular-economy-thinking-and-data-center-it-assets/</w:t>
        </w:r>
      </w:hyperlink>
    </w:p>
    <w:p w14:paraId="00000066" w14:textId="77777777" w:rsidR="00594F75" w:rsidRDefault="00000000">
      <w:pPr>
        <w:spacing w:after="200"/>
        <w:jc w:val="left"/>
      </w:pPr>
      <w:r>
        <w:rPr>
          <w:b/>
        </w:rPr>
        <w:t>[T-ENV-2-05]</w:t>
      </w:r>
      <w:r>
        <w:t xml:space="preserve"> European Environment Agency (EEA). (2023). </w:t>
      </w:r>
      <w:r>
        <w:rPr>
          <w:i/>
        </w:rPr>
        <w:t>Waste electrical and electronic equipment (WEEE) collection rate (Indicator)</w:t>
      </w:r>
      <w:r>
        <w:t>.</w:t>
      </w:r>
      <w:hyperlink r:id="rId18">
        <w:r w:rsidR="00594F75">
          <w:t xml:space="preserve"> https://www.eea.europa.eu/en/european-zero-pollution-dashboards/indicators/waste-electrical-and-electronic-equipment-weee-collection-rate-indicator</w:t>
        </w:r>
      </w:hyperlink>
    </w:p>
    <w:p w14:paraId="00000067" w14:textId="77777777" w:rsidR="00594F75" w:rsidRDefault="00000000">
      <w:pPr>
        <w:spacing w:after="200"/>
        <w:jc w:val="left"/>
      </w:pPr>
      <w:r w:rsidRPr="00E73CE9">
        <w:rPr>
          <w:b/>
          <w:lang w:val="de-DE"/>
        </w:rPr>
        <w:t>[T-ENV-2-06]</w:t>
      </w:r>
      <w:r w:rsidRPr="00E73CE9">
        <w:rPr>
          <w:lang w:val="de-DE"/>
        </w:rPr>
        <w:t xml:space="preserve"> </w:t>
      </w:r>
      <w:proofErr w:type="spellStart"/>
      <w:r w:rsidRPr="00E73CE9">
        <w:rPr>
          <w:lang w:val="de-DE"/>
        </w:rPr>
        <w:t>Binnemans</w:t>
      </w:r>
      <w:proofErr w:type="spellEnd"/>
      <w:r w:rsidRPr="00E73CE9">
        <w:rPr>
          <w:lang w:val="de-DE"/>
        </w:rPr>
        <w:t xml:space="preserve">, K., Jones, P.T., &amp; </w:t>
      </w:r>
      <w:proofErr w:type="spellStart"/>
      <w:r w:rsidRPr="00E73CE9">
        <w:rPr>
          <w:lang w:val="de-DE"/>
        </w:rPr>
        <w:t>Blanpain</w:t>
      </w:r>
      <w:proofErr w:type="spellEnd"/>
      <w:r w:rsidRPr="00E73CE9">
        <w:rPr>
          <w:lang w:val="de-DE"/>
        </w:rPr>
        <w:t xml:space="preserve">, B. (2024). </w:t>
      </w:r>
      <w:r>
        <w:rPr>
          <w:i/>
        </w:rPr>
        <w:t>A Review of the Occurrence and Recovery of Rare Earth Elements from Electronic Waste</w:t>
      </w:r>
      <w:r>
        <w:t>. Molecules, 29(19), 4624.</w:t>
      </w:r>
      <w:hyperlink r:id="rId19">
        <w:r w:rsidR="00594F75">
          <w:t xml:space="preserve"> https://www.mdpi.com/1420-3049/29/19/4624</w:t>
        </w:r>
      </w:hyperlink>
    </w:p>
    <w:p w14:paraId="00000068" w14:textId="77777777" w:rsidR="00594F75" w:rsidRPr="00E73CE9" w:rsidRDefault="00000000">
      <w:pPr>
        <w:spacing w:after="200"/>
        <w:jc w:val="left"/>
        <w:rPr>
          <w:lang w:val="de-DE"/>
        </w:rPr>
      </w:pPr>
      <w:r w:rsidRPr="007B7CFB">
        <w:rPr>
          <w:b/>
          <w:lang w:val="en-GB"/>
        </w:rPr>
        <w:t>[T-ENV-2-07]</w:t>
      </w:r>
      <w:r w:rsidRPr="007B7CFB">
        <w:rPr>
          <w:lang w:val="en-GB"/>
        </w:rPr>
        <w:t xml:space="preserve"> Calabrese, J. (2025, June 12). </w:t>
      </w:r>
      <w:r>
        <w:t xml:space="preserve">Europe’s precarious position: Critical minerals, rare earths, and the China dilemma. </w:t>
      </w:r>
      <w:proofErr w:type="spellStart"/>
      <w:r w:rsidRPr="00E73CE9">
        <w:rPr>
          <w:lang w:val="de-DE"/>
        </w:rPr>
        <w:t>Illuminem</w:t>
      </w:r>
      <w:proofErr w:type="spellEnd"/>
      <w:r w:rsidRPr="00E73CE9">
        <w:rPr>
          <w:lang w:val="de-DE"/>
        </w:rPr>
        <w:t>. https://illuminem.com/illuminemvoices/europes-precarious-position-critical-minerals-rare-earths-and-the-china-dilemma</w:t>
      </w:r>
    </w:p>
    <w:p w14:paraId="00000069" w14:textId="77777777" w:rsidR="00594F75" w:rsidRDefault="00000000">
      <w:pPr>
        <w:spacing w:after="200"/>
        <w:jc w:val="left"/>
      </w:pPr>
      <w:r>
        <w:rPr>
          <w:b/>
        </w:rPr>
        <w:t>[T-ENV-2-08]</w:t>
      </w:r>
      <w:r>
        <w:t xml:space="preserve"> European Commission. (2023). </w:t>
      </w:r>
      <w:r>
        <w:rPr>
          <w:i/>
        </w:rPr>
        <w:t>Critical Raw Materials Act</w:t>
      </w:r>
      <w:r>
        <w:t>.</w:t>
      </w:r>
      <w:hyperlink r:id="rId20">
        <w:r w:rsidR="00594F75">
          <w:t xml:space="preserve"> https://single-market-economy.ec.europa.eu/sectors/raw-materials/areas-specific-interest/critical-raw-materials/critical-raw-materials-act_en</w:t>
        </w:r>
      </w:hyperlink>
    </w:p>
    <w:p w14:paraId="0000006A" w14:textId="77777777" w:rsidR="00594F75" w:rsidRDefault="00000000">
      <w:pPr>
        <w:spacing w:after="200"/>
        <w:jc w:val="left"/>
      </w:pPr>
      <w:r>
        <w:rPr>
          <w:b/>
        </w:rPr>
        <w:t>[T-ENV-2-09]</w:t>
      </w:r>
      <w:r>
        <w:t xml:space="preserve"> European Parliament Research Service (EPRS). (2016). </w:t>
      </w:r>
      <w:r>
        <w:rPr>
          <w:i/>
        </w:rPr>
        <w:t>Planned obsolescence: Exploring the issue</w:t>
      </w:r>
      <w:r>
        <w:t>.</w:t>
      </w:r>
      <w:hyperlink r:id="rId21">
        <w:r w:rsidR="00594F75">
          <w:t xml:space="preserve"> </w:t>
        </w:r>
      </w:hyperlink>
      <w:hyperlink r:id="rId22">
        <w:r w:rsidR="00594F75">
          <w:t>https://www.europarl.europa.eu/RegData/etudes/BRIE/2016/581999/EPRS_BRI(2016)581999_EN.pdf</w:t>
        </w:r>
      </w:hyperlink>
      <w:r>
        <w:t xml:space="preserve"> </w:t>
      </w:r>
    </w:p>
    <w:p w14:paraId="0000006B" w14:textId="77777777" w:rsidR="00594F75" w:rsidRDefault="00594F75"/>
    <w:p w14:paraId="0000006C" w14:textId="77777777" w:rsidR="00594F75" w:rsidRDefault="00594F75"/>
    <w:p w14:paraId="0000006D" w14:textId="77777777" w:rsidR="00594F75" w:rsidRDefault="00594F75"/>
    <w:p w14:paraId="0000006E" w14:textId="77777777" w:rsidR="00594F75" w:rsidRDefault="00594F75"/>
    <w:p w14:paraId="0000006F" w14:textId="77777777" w:rsidR="00594F75" w:rsidRDefault="00594F75"/>
    <w:p w14:paraId="00000070" w14:textId="77777777" w:rsidR="00594F75" w:rsidRDefault="00594F75"/>
    <w:p w14:paraId="00000071" w14:textId="77777777" w:rsidR="00594F75" w:rsidRDefault="00594F75"/>
    <w:p w14:paraId="00000072" w14:textId="77777777" w:rsidR="00594F75" w:rsidRDefault="00594F75"/>
    <w:p w14:paraId="00000073" w14:textId="77777777" w:rsidR="00594F75" w:rsidRDefault="00594F75"/>
    <w:p w14:paraId="00000074" w14:textId="77777777" w:rsidR="00594F75" w:rsidRDefault="00594F75"/>
    <w:p w14:paraId="00000075" w14:textId="77777777" w:rsidR="00594F75" w:rsidRDefault="00594F75"/>
    <w:p w14:paraId="00000076" w14:textId="77777777" w:rsidR="00594F75" w:rsidRDefault="00594F75"/>
    <w:p w14:paraId="00000077" w14:textId="77777777" w:rsidR="00594F75" w:rsidRDefault="00594F75"/>
    <w:p w14:paraId="00000078" w14:textId="77777777" w:rsidR="00594F75" w:rsidRDefault="00594F75"/>
    <w:p w14:paraId="00000079" w14:textId="77777777" w:rsidR="00594F75" w:rsidRDefault="00594F75"/>
    <w:p w14:paraId="0000007A" w14:textId="77777777" w:rsidR="00594F75" w:rsidRDefault="00594F75"/>
    <w:p w14:paraId="0000007B" w14:textId="77777777" w:rsidR="00594F75" w:rsidRDefault="00594F75"/>
    <w:p w14:paraId="0000007C" w14:textId="77777777" w:rsidR="00594F75" w:rsidRDefault="00000000">
      <w:r>
        <w:br w:type="page"/>
      </w:r>
    </w:p>
    <w:p w14:paraId="0000007D" w14:textId="77777777" w:rsidR="00594F75" w:rsidRDefault="00000000">
      <w:pPr>
        <w:pStyle w:val="Heading1"/>
        <w:numPr>
          <w:ilvl w:val="0"/>
          <w:numId w:val="1"/>
        </w:numPr>
        <w:spacing w:after="200"/>
      </w:pPr>
      <w:bookmarkStart w:id="8" w:name="_heading=h.zgs2agalsfdb" w:colFirst="0" w:colLast="0"/>
      <w:bookmarkEnd w:id="8"/>
      <w:r>
        <w:lastRenderedPageBreak/>
        <w:t>Powering Europe’s Clean Energy Future</w:t>
      </w:r>
    </w:p>
    <w:p w14:paraId="0000007E" w14:textId="77777777" w:rsidR="00594F75" w:rsidRDefault="00000000">
      <w:pPr>
        <w:spacing w:after="200"/>
      </w:pPr>
      <w:r>
        <w:rPr>
          <w:b/>
          <w:color w:val="000000"/>
          <w:sz w:val="18"/>
          <w:szCs w:val="18"/>
        </w:rPr>
        <w:t>Ensuring Secure, Stable, and Sustainable Power for Next-Generation Data Centers</w:t>
      </w:r>
    </w:p>
    <w:p w14:paraId="0000007F" w14:textId="77777777" w:rsidR="00594F75" w:rsidRDefault="00000000">
      <w:pPr>
        <w:spacing w:after="200"/>
      </w:pPr>
      <w:r>
        <w:t>Europe’s digital future depends on two parallel energy goals: building a sustainable power system and ensuring a sufficient, stable supply to meet surging demand. Today, 33% of Europe’s electricity still comes from fossil fuels or is imported, leaving critical infrastructure exposed to price volatility and geopolitical risk [T-ENV-3-02], [T-ENV-3-17]. While data centers currently account for a modest ~2% share of total electricity use, their demand is projected to grow steeply over the coming decade, driven by AI training and cloud workloads [T-ENV-3-14]. Without abundant, affordable green power, this growth will be constrained. Moreover, investments in renewable generation, grid storage, and hydrogen systems also enhance the energy resilience of other key sectors, including manufacturing, agriculture, and transportation [T-ENV-3-04], [T-ENV-3-06], [T-ENV-3-07].  Nuclear innovation, including small modular reactors and fusion, offers long-term stability, although most near-term capacity will come from renewables [T-ENV-3-19]. A diversified, European energy portfolio will shield data centers from external shocks, deliver reliable power, and advance climate neutrality [T-ENV-3-01], [T-ENV-3-03].</w:t>
      </w:r>
    </w:p>
    <w:p w14:paraId="00000080" w14:textId="77777777" w:rsidR="00594F75" w:rsidRDefault="00000000">
      <w:pPr>
        <w:spacing w:after="200"/>
      </w:pPr>
      <w:r>
        <w:rPr>
          <w:b/>
          <w:color w:val="024EA2"/>
        </w:rPr>
        <w:t>Facts:</w:t>
      </w:r>
    </w:p>
    <w:p w14:paraId="00000081"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 xml:space="preserve">European data </w:t>
      </w:r>
      <w:proofErr w:type="spellStart"/>
      <w:r>
        <w:t>centres</w:t>
      </w:r>
      <w:proofErr w:type="spellEnd"/>
      <w:r>
        <w:t xml:space="preserve"> consumed approximately </w:t>
      </w:r>
      <w:r>
        <w:rPr>
          <w:b/>
        </w:rPr>
        <w:t xml:space="preserve">50–70 </w:t>
      </w:r>
      <w:r>
        <w:t>Terawatt-hours (</w:t>
      </w:r>
      <w:r>
        <w:rPr>
          <w:b/>
        </w:rPr>
        <w:t>TWh) of electricity in 2023</w:t>
      </w:r>
      <w:r>
        <w:t xml:space="preserve">, with projections for 2030 ranging from </w:t>
      </w:r>
      <w:r>
        <w:rPr>
          <w:b/>
        </w:rPr>
        <w:t>160 TWh to nearly 265 TWh</w:t>
      </w:r>
      <w:r>
        <w:t>, depending on growth and efficiency scenarios [T-ENV-3-14].</w:t>
      </w:r>
    </w:p>
    <w:p w14:paraId="00000082"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While nuclear innovation is advancing, large-scale deployment is unlikely before 2035, so most European hyperscale data centers rely on renewables, with wind and solar providing over 60% of the green electricity they procure [T-ENV-3-01], [T-ENV-3-02], [T-ENV-3-03], [T-ENV-3-05].</w:t>
      </w:r>
    </w:p>
    <w:p w14:paraId="00000083"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Hydrogen pilots have advanced beyond the lab, as demonstrated by Microsoft’s 1.5 MW fuel-cell test powering servers in the US at 250 kW for 48 hours [T-ENV-3-04], [T-ENV-3-15]. Europe still lacks comparable large-scale demonstrations, highlighting a gap in zero-carbon backup deployment.</w:t>
      </w:r>
    </w:p>
    <w:p w14:paraId="00000084" w14:textId="77777777" w:rsidR="00594F75" w:rsidRDefault="00594F75">
      <w:pPr>
        <w:pBdr>
          <w:top w:val="none" w:sz="0" w:space="0" w:color="auto"/>
          <w:left w:val="none" w:sz="0" w:space="0" w:color="auto"/>
          <w:bottom w:val="none" w:sz="0" w:space="0" w:color="auto"/>
          <w:right w:val="none" w:sz="0" w:space="0" w:color="auto"/>
          <w:between w:val="none" w:sz="0" w:space="0" w:color="auto"/>
        </w:pBdr>
        <w:jc w:val="left"/>
      </w:pPr>
    </w:p>
    <w:p w14:paraId="00000085" w14:textId="77777777" w:rsidR="00594F75" w:rsidRDefault="00000000">
      <w:pPr>
        <w:spacing w:after="200"/>
      </w:pPr>
      <w:r>
        <w:rPr>
          <w:b/>
          <w:color w:val="024EA2"/>
        </w:rPr>
        <w:t xml:space="preserve">Key Drivers: </w:t>
      </w:r>
    </w:p>
    <w:p w14:paraId="00000086"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Carbon neutrality targets and EU regulations such as the 2024 Data Centre Sustainability Reporting scheme make renewable sourcing a compliance obligation rather than a voluntary choice [T-ENV-3-01], [T-ENV-3-05].</w:t>
      </w:r>
    </w:p>
    <w:p w14:paraId="00000087"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Long-term power purchase agreements (PPAs) are a key mechanism to secure and finance low-carbon energy. Microsoft’s Nordic wind farm PPAs ensure stable, predictable electricity for its European data centers [T-ENV-3-03], [T-ENV-3-05].</w:t>
      </w:r>
    </w:p>
    <w:p w14:paraId="00000088"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Equinix’s &gt;100 MW solid-oxide fuel cell rollout with Bloom Energy shows that mature microgrid and hydrogen solutions are available. By adopting them, Europe can secure resilient, zero-carbon backup power [T-ENV-3-03], [T-ENV-3-04].</w:t>
      </w:r>
    </w:p>
    <w:p w14:paraId="00000089" w14:textId="77777777" w:rsidR="00594F75" w:rsidRDefault="00594F75">
      <w:pPr>
        <w:pBdr>
          <w:top w:val="none" w:sz="0" w:space="0" w:color="auto"/>
          <w:left w:val="none" w:sz="0" w:space="0" w:color="auto"/>
          <w:bottom w:val="none" w:sz="0" w:space="0" w:color="auto"/>
          <w:right w:val="none" w:sz="0" w:space="0" w:color="auto"/>
          <w:between w:val="none" w:sz="0" w:space="0" w:color="auto"/>
        </w:pBdr>
        <w:jc w:val="left"/>
      </w:pPr>
    </w:p>
    <w:p w14:paraId="0000008A" w14:textId="77777777" w:rsidR="00594F75" w:rsidRDefault="00000000">
      <w:pPr>
        <w:spacing w:after="200"/>
        <w:rPr>
          <w:b/>
          <w:color w:val="024EA2"/>
        </w:rPr>
      </w:pPr>
      <w:r>
        <w:rPr>
          <w:b/>
          <w:color w:val="024EA2"/>
        </w:rPr>
        <w:t>Challenges:</w:t>
      </w:r>
    </w:p>
    <w:p w14:paraId="0000008B"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Building infrastructure for next-generation energy systems is costly and complex, due to high upfront investment, immature supply chains, and the need for significant transmission and distribution grid upgrades [T-ENV-3-10].</w:t>
      </w:r>
    </w:p>
    <w:p w14:paraId="0000008C"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Regulatory uncertainty and public skepticism about safety, waste, and long-term risks complicate the rollout of advanced nuclear power and fragmentation, slowing commercialization and grid integration [T-ENV-3-11].</w:t>
      </w:r>
    </w:p>
    <w:p w14:paraId="0000008D" w14:textId="77777777" w:rsidR="00594F75" w:rsidRDefault="00000000">
      <w:pPr>
        <w:numPr>
          <w:ilvl w:val="0"/>
          <w:numId w:val="2"/>
        </w:numPr>
        <w:spacing w:after="200"/>
      </w:pPr>
      <w:r>
        <w:t>Intermittency of wind and solar power requires massive investment in storage and balancing capacity. Without it, data centers face exposure to price spikes during low-generation periods [T-ENV-3-03], [T-ENV-3-05].</w:t>
      </w:r>
    </w:p>
    <w:p w14:paraId="0000008E" w14:textId="77777777" w:rsidR="00594F75" w:rsidRDefault="00000000">
      <w:pPr>
        <w:spacing w:after="200"/>
        <w:rPr>
          <w:b/>
          <w:color w:val="024EA2"/>
        </w:rPr>
      </w:pPr>
      <w:r>
        <w:rPr>
          <w:b/>
          <w:color w:val="024EA2"/>
        </w:rPr>
        <w:t>Impact on Digital Sovereignty</w:t>
      </w:r>
    </w:p>
    <w:p w14:paraId="0000008F" w14:textId="77777777" w:rsidR="00594F75" w:rsidRDefault="00000000">
      <w:pPr>
        <w:spacing w:after="200"/>
      </w:pPr>
      <w:r>
        <w:t>Clean, reliable, and European-controlled energy is a prerequisite for digital sovereignty. Achieving both goals, a sustainable power mix and sufficient, stable capacity, will shield data centers from external price shocks, reduce reliance on non-European suppliers, and help meet climate targets. Reliable electricity underpins cloud computing, AI training, and data-driven innovation, making energy independence a direct enabler of Europe’s digital competitiveness. By building next-generation energy infrastructure, Europe can scale its digital economy on its own terms, strengthen resilience against geopolitical risks, and secure long-term strategic autonomy.</w:t>
      </w:r>
    </w:p>
    <w:p w14:paraId="00000090" w14:textId="77777777" w:rsidR="00594F75" w:rsidRDefault="00594F75"/>
    <w:p w14:paraId="00000091" w14:textId="77777777" w:rsidR="00594F75" w:rsidRDefault="00000000">
      <w:pPr>
        <w:pStyle w:val="Heading1"/>
        <w:spacing w:after="200"/>
      </w:pPr>
      <w:bookmarkStart w:id="9" w:name="_heading=h.vjox0zi1u81o" w:colFirst="0" w:colLast="0"/>
      <w:bookmarkEnd w:id="9"/>
      <w:r>
        <w:br w:type="page"/>
      </w:r>
    </w:p>
    <w:p w14:paraId="00000092" w14:textId="77777777" w:rsidR="00594F75" w:rsidRDefault="00000000">
      <w:pPr>
        <w:pStyle w:val="Heading1"/>
        <w:numPr>
          <w:ilvl w:val="0"/>
          <w:numId w:val="1"/>
        </w:numPr>
        <w:spacing w:after="200"/>
      </w:pPr>
      <w:bookmarkStart w:id="10" w:name="_heading=h.fxqy2ogwtxue" w:colFirst="0" w:colLast="0"/>
      <w:bookmarkEnd w:id="10"/>
      <w:r>
        <w:lastRenderedPageBreak/>
        <w:t>Greening Digital Infrastructure</w:t>
      </w:r>
    </w:p>
    <w:p w14:paraId="00000093" w14:textId="77777777" w:rsidR="00594F75" w:rsidRDefault="00000000">
      <w:pPr>
        <w:spacing w:after="200"/>
        <w:rPr>
          <w:b/>
          <w:color w:val="000000"/>
          <w:sz w:val="18"/>
          <w:szCs w:val="18"/>
        </w:rPr>
      </w:pPr>
      <w:proofErr w:type="spellStart"/>
      <w:r>
        <w:rPr>
          <w:b/>
          <w:color w:val="000000"/>
          <w:sz w:val="18"/>
          <w:szCs w:val="18"/>
        </w:rPr>
        <w:t>Decarbonising</w:t>
      </w:r>
      <w:proofErr w:type="spellEnd"/>
      <w:r>
        <w:rPr>
          <w:b/>
          <w:color w:val="000000"/>
          <w:sz w:val="18"/>
          <w:szCs w:val="18"/>
        </w:rPr>
        <w:t xml:space="preserve"> Networks, Edge, and Data </w:t>
      </w:r>
      <w:proofErr w:type="spellStart"/>
      <w:r>
        <w:rPr>
          <w:b/>
          <w:color w:val="000000"/>
          <w:sz w:val="18"/>
          <w:szCs w:val="18"/>
        </w:rPr>
        <w:t>Centres</w:t>
      </w:r>
      <w:proofErr w:type="spellEnd"/>
      <w:r>
        <w:rPr>
          <w:b/>
          <w:color w:val="000000"/>
          <w:sz w:val="18"/>
          <w:szCs w:val="18"/>
        </w:rPr>
        <w:t xml:space="preserve"> Across Europe’s Energy System </w:t>
      </w:r>
    </w:p>
    <w:p w14:paraId="00000094" w14:textId="77777777" w:rsidR="00594F75" w:rsidRDefault="00000000">
      <w:pPr>
        <w:spacing w:after="200"/>
        <w:rPr>
          <w:b/>
          <w:color w:val="000000"/>
        </w:rPr>
      </w:pPr>
      <w:r>
        <w:t>Europe’s digital infrastructure is expanding rapidly across data centers, telecom networks, and edge nodes. EU data-center electricity consumption is projected to increase by ~75% by 2030 and more than double by 2035 [T-ENV-4-12]. Without major efficiency gains, the sector risks locking in rising energy use that undermines climate targets and inflates operating costs [T-ENV-4-20]. Energy efficiency, not just cleaner power, is therefore becoming a strategic imperative. Modern optimizations span the stack: next-generation network equipment reduces power per bit, while advanced cooling and low-Power Usage Effectiveness (PUE) designs cut heat waste in large-scale data centers [T-ENV-4-13], [T-ENV-4-14]. Edge computing can lower system-wide energy needs by reducing data transport and enabling local load balancing [T-ENV-4-01]. AI and other computationally intensive workloads can be made less energy-intensive through model optimization and distillation, low-level performance tuning, hardware acceleration, and carbon-aware scheduling [T-ENV-4-04]. Europe’s ability to deliver digital growth without proportional increases in energy use will be a defining test for digital sovereignty [T-ENV-4-06].</w:t>
      </w:r>
    </w:p>
    <w:p w14:paraId="00000095" w14:textId="77777777" w:rsidR="00594F75" w:rsidRDefault="00000000">
      <w:pPr>
        <w:spacing w:after="200"/>
      </w:pPr>
      <w:r>
        <w:rPr>
          <w:b/>
          <w:color w:val="024EA2"/>
        </w:rPr>
        <w:t>Facts:</w:t>
      </w:r>
    </w:p>
    <w:p w14:paraId="00000096"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EU data center electricity demand will rise from 96 TWh in 2024 to 168 TWh by 2030 and 236 TWh by 2035 [T-ENV-4-12]. To address this growth, advances in liquid cooling could cut data center energy usage by 15–20% compared to traditional air cooling [T-ENV-4-14].</w:t>
      </w:r>
    </w:p>
    <w:p w14:paraId="00000097"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European edge computing capacity is growing at ~21.7% annually, shifting energy use toward distributed micro data facilities close to users [T-ENV-4-20].</w:t>
      </w:r>
    </w:p>
    <w:p w14:paraId="00000098"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AI training is resource-intensive, with GPT-3 consuming up to 700,000 L of water, and global AI water use projected to reach 4.2–6.6B m³ by 2027, more than the annual water withdrawal of 4-6 Denmark [T-ENV-4-05].</w:t>
      </w:r>
    </w:p>
    <w:p w14:paraId="00000099" w14:textId="77777777" w:rsidR="00594F75" w:rsidRDefault="00594F75">
      <w:pPr>
        <w:pBdr>
          <w:top w:val="none" w:sz="0" w:space="0" w:color="auto"/>
          <w:left w:val="none" w:sz="0" w:space="0" w:color="auto"/>
          <w:bottom w:val="none" w:sz="0" w:space="0" w:color="auto"/>
          <w:right w:val="none" w:sz="0" w:space="0" w:color="auto"/>
          <w:between w:val="none" w:sz="0" w:space="0" w:color="auto"/>
        </w:pBdr>
        <w:jc w:val="left"/>
      </w:pPr>
    </w:p>
    <w:bookmarkStart w:id="11" w:name="_heading=h.1dv5oocrxm4x" w:colFirst="0" w:colLast="0" w:displacedByCustomXml="next"/>
    <w:bookmarkEnd w:id="11" w:displacedByCustomXml="next"/>
    <w:sdt>
      <w:sdtPr>
        <w:tag w:val="goog_rdk_4"/>
        <w:id w:val="-674378231"/>
      </w:sdtPr>
      <w:sdtContent>
        <w:p w14:paraId="0000009A" w14:textId="77777777" w:rsidR="00594F75" w:rsidRDefault="00000000">
          <w:pPr>
            <w:pStyle w:val="Heading3"/>
            <w:keepNext w:val="0"/>
            <w:keepLines w:val="0"/>
            <w:spacing w:before="0"/>
            <w:rPr>
              <w:rFonts w:ascii="Avenir" w:eastAsia="Avenir" w:hAnsi="Avenir" w:cs="Avenir"/>
              <w:b/>
              <w:color w:val="024EA2"/>
              <w:sz w:val="15"/>
              <w:szCs w:val="15"/>
            </w:rPr>
          </w:pPr>
          <w:r>
            <w:rPr>
              <w:rFonts w:ascii="Avenir" w:eastAsia="Avenir" w:hAnsi="Avenir" w:cs="Avenir"/>
              <w:b/>
              <w:color w:val="024EA2"/>
              <w:sz w:val="15"/>
              <w:szCs w:val="15"/>
            </w:rPr>
            <w:t>Key Drivers:</w:t>
          </w:r>
        </w:p>
      </w:sdtContent>
    </w:sdt>
    <w:p w14:paraId="0000009B"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 xml:space="preserve">EU regulations, like the new data center sustainability rating scheme, introduce mandatory efficiency reporting and set measurable benchmarks for PUE, water use, and other resource indicators [T-ENV-4-02]. </w:t>
      </w:r>
    </w:p>
    <w:p w14:paraId="0000009C"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 xml:space="preserve">Rising electricity prices and rack power densities exceeding 100 kW make energy efficiency a cost-critical design priority, accelerating the adoption of liquid and immersion cooling technologies, such as </w:t>
      </w:r>
      <w:proofErr w:type="spellStart"/>
      <w:r>
        <w:t>Submer</w:t>
      </w:r>
      <w:proofErr w:type="spellEnd"/>
      <w:r>
        <w:t xml:space="preserve">, to cut cooling energy demands [T-ENV-4-23]. </w:t>
      </w:r>
    </w:p>
    <w:p w14:paraId="0000009D"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 xml:space="preserve">Rapid growth in AI workloads and data traffic drives the demand for model optimization, specialized hardware accelerators, and distributed edge deployment to control energy use at scale [T-ENV-4-04]. </w:t>
      </w:r>
    </w:p>
    <w:p w14:paraId="0000009E" w14:textId="77777777" w:rsidR="00594F75" w:rsidRDefault="00594F75">
      <w:pPr>
        <w:pBdr>
          <w:top w:val="none" w:sz="0" w:space="0" w:color="auto"/>
          <w:left w:val="none" w:sz="0" w:space="0" w:color="auto"/>
          <w:bottom w:val="none" w:sz="0" w:space="0" w:color="auto"/>
          <w:right w:val="none" w:sz="0" w:space="0" w:color="auto"/>
          <w:between w:val="none" w:sz="0" w:space="0" w:color="auto"/>
        </w:pBdr>
        <w:jc w:val="left"/>
      </w:pPr>
    </w:p>
    <w:bookmarkStart w:id="12" w:name="_heading=h.xlu341qbhtlm" w:colFirst="0" w:colLast="0" w:displacedByCustomXml="next"/>
    <w:bookmarkEnd w:id="12" w:displacedByCustomXml="next"/>
    <w:sdt>
      <w:sdtPr>
        <w:tag w:val="goog_rdk_5"/>
        <w:id w:val="-2140587515"/>
      </w:sdtPr>
      <w:sdtContent>
        <w:p w14:paraId="0000009F" w14:textId="77777777" w:rsidR="00594F75" w:rsidRDefault="00000000">
          <w:pPr>
            <w:pStyle w:val="Heading3"/>
            <w:keepNext w:val="0"/>
            <w:keepLines w:val="0"/>
            <w:spacing w:before="0"/>
            <w:rPr>
              <w:sz w:val="15"/>
              <w:szCs w:val="15"/>
            </w:rPr>
          </w:pPr>
          <w:r>
            <w:rPr>
              <w:rFonts w:ascii="Avenir" w:eastAsia="Avenir" w:hAnsi="Avenir" w:cs="Avenir"/>
              <w:b/>
              <w:color w:val="024EA2"/>
              <w:sz w:val="15"/>
              <w:szCs w:val="15"/>
            </w:rPr>
            <w:t>Challenges:</w:t>
          </w:r>
        </w:p>
      </w:sdtContent>
    </w:sdt>
    <w:p w14:paraId="000000A0"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Many data centers already operate near best-practice efficiency, so further energy savings show diminishing returns and become costlier to achieve [T-ENV-4-19].</w:t>
      </w:r>
    </w:p>
    <w:p w14:paraId="000000A1"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Retrofitting existing facilities with liquid cooling or heat-reuse systems is expensive and often constrained by distance and temperature limits, making upgrades difficult [T-ENV-4-14], [T-ENV-4-20].</w:t>
      </w:r>
    </w:p>
    <w:p w14:paraId="000000A2"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The AI race and rising data traffic can outpace efficiency gains, driving higher total energy use despite better technology [T-ENV-4-05].</w:t>
      </w:r>
    </w:p>
    <w:p w14:paraId="000000A3"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Inconsistent efficiency metrics and reporting make it difficult to compare data center sites and enforce harmonized EU standards [T-ENV-4-02].</w:t>
      </w:r>
    </w:p>
    <w:p w14:paraId="000000A4" w14:textId="77777777" w:rsidR="00594F75" w:rsidRDefault="00594F75">
      <w:pPr>
        <w:pBdr>
          <w:top w:val="none" w:sz="0" w:space="0" w:color="auto"/>
          <w:left w:val="none" w:sz="0" w:space="0" w:color="auto"/>
          <w:bottom w:val="none" w:sz="0" w:space="0" w:color="auto"/>
          <w:right w:val="none" w:sz="0" w:space="0" w:color="auto"/>
          <w:between w:val="none" w:sz="0" w:space="0" w:color="auto"/>
        </w:pBdr>
        <w:jc w:val="left"/>
      </w:pPr>
    </w:p>
    <w:bookmarkStart w:id="13" w:name="_heading=h.4w67dn7pzwqo" w:colFirst="0" w:colLast="0" w:displacedByCustomXml="next"/>
    <w:bookmarkEnd w:id="13" w:displacedByCustomXml="next"/>
    <w:sdt>
      <w:sdtPr>
        <w:tag w:val="goog_rdk_6"/>
        <w:id w:val="-1028352977"/>
      </w:sdtPr>
      <w:sdtContent>
        <w:p w14:paraId="000000A5" w14:textId="77777777" w:rsidR="00594F75" w:rsidRDefault="00000000">
          <w:pPr>
            <w:pStyle w:val="Heading3"/>
            <w:keepNext w:val="0"/>
            <w:keepLines w:val="0"/>
            <w:spacing w:before="0"/>
            <w:rPr>
              <w:rFonts w:ascii="Avenir" w:eastAsia="Avenir" w:hAnsi="Avenir" w:cs="Avenir"/>
              <w:b/>
              <w:color w:val="024EA2"/>
              <w:sz w:val="15"/>
              <w:szCs w:val="15"/>
            </w:rPr>
          </w:pPr>
          <w:r>
            <w:rPr>
              <w:rFonts w:ascii="Avenir" w:eastAsia="Avenir" w:hAnsi="Avenir" w:cs="Avenir"/>
              <w:b/>
              <w:color w:val="024EA2"/>
              <w:sz w:val="15"/>
              <w:szCs w:val="15"/>
            </w:rPr>
            <w:t>Impact on Digital Sovereignty:</w:t>
          </w:r>
        </w:p>
      </w:sdtContent>
    </w:sdt>
    <w:p w14:paraId="000000A6" w14:textId="77777777" w:rsidR="00594F75" w:rsidRDefault="00000000">
      <w:pPr>
        <w:spacing w:after="200"/>
      </w:pPr>
      <w:r>
        <w:t>Improving energy efficiency allows Europe to expand its digital infrastructure without a proportional increase in electricity demand, reducing exposure to grid bottlenecks and reliance on non-EU energy imports [T-ENV-4-12], [T-ENV-4-20]. At the same time, lower operating costs improve the competitiveness of European cloud and edge providers, helping to retain data processing within the EU. Efficiency gains also reduce local environmental impacts, build public acceptance, and make it easiest to locate new data center capacity domestically [T-ENV-4-14]. Finally, harmonized efficiency reporting and performance standards enable Europe to set global benchmarks, ensuring that future networks, edge nodes, and AI clusters are built with resilience and resource efficiency in mind [T-ENV-4-02], [T-ENV-4-06].</w:t>
      </w:r>
    </w:p>
    <w:p w14:paraId="000000A7" w14:textId="77777777" w:rsidR="00594F75" w:rsidRDefault="00594F75">
      <w:pPr>
        <w:spacing w:after="200"/>
      </w:pPr>
    </w:p>
    <w:p w14:paraId="000000A8" w14:textId="77777777" w:rsidR="00594F75" w:rsidRDefault="00594F75">
      <w:pPr>
        <w:spacing w:after="200"/>
      </w:pPr>
    </w:p>
    <w:p w14:paraId="000000A9" w14:textId="77777777" w:rsidR="00594F75" w:rsidRDefault="00000000">
      <w:pPr>
        <w:spacing w:after="200"/>
      </w:pPr>
      <w:r>
        <w:br w:type="page"/>
      </w:r>
    </w:p>
    <w:p w14:paraId="000000AA" w14:textId="77777777" w:rsidR="00594F75" w:rsidRDefault="00000000">
      <w:pPr>
        <w:pStyle w:val="Heading1"/>
        <w:numPr>
          <w:ilvl w:val="0"/>
          <w:numId w:val="1"/>
        </w:numPr>
        <w:spacing w:after="200"/>
        <w:jc w:val="left"/>
      </w:pPr>
      <w:bookmarkStart w:id="14" w:name="_heading=h.pp2on83ulybc" w:colFirst="0" w:colLast="0"/>
      <w:bookmarkEnd w:id="14"/>
      <w:r>
        <w:lastRenderedPageBreak/>
        <w:t>Reusing Existing Infrastructure</w:t>
      </w:r>
    </w:p>
    <w:p w14:paraId="000000AB" w14:textId="77777777" w:rsidR="00594F75" w:rsidRDefault="00000000">
      <w:pPr>
        <w:spacing w:after="200"/>
        <w:jc w:val="left"/>
        <w:rPr>
          <w:b/>
          <w:color w:val="000000"/>
          <w:sz w:val="18"/>
          <w:szCs w:val="18"/>
        </w:rPr>
      </w:pPr>
      <w:r>
        <w:rPr>
          <w:b/>
          <w:color w:val="000000"/>
          <w:sz w:val="18"/>
          <w:szCs w:val="18"/>
        </w:rPr>
        <w:t>Leveraging Existing Grid and Utilities to Shorten Delivery Timelines and Lower Embodied Emissions</w:t>
      </w:r>
    </w:p>
    <w:p w14:paraId="000000AC" w14:textId="77777777" w:rsidR="00594F75" w:rsidRDefault="00000000">
      <w:pPr>
        <w:spacing w:after="200"/>
        <w:jc w:val="left"/>
      </w:pPr>
      <w:r>
        <w:t>Across Europe, developers weigh trade-offs between brownfield and greenfield sites for hyperscale data centers and telecommunication hubs. Greenfield projects develop unused land, allowing power, cooling, and layouts to be designed from the ground up. In contrast, brownfield projects convert retired power plants or industrial sites, using existing grid links, substations, and sometimes water infrastructure [T-ENV-5-01], [T-ENV-5-02]. This reuse can reduce deployment timelines by 7-10 years [T-ENV-5-02], while brownfield projects can come online much faster. Reuse also lowers embodied carbon from concrete and steel [T-ENV-5-03] and often faces less opposition than building on farmland [T-ENV-5-04]. However, many sites require soil remediation, asbestos removal, or structural upgrades before they can host IT infrastructure and liquid cooling [T-ENV-5-06], [T-ENV-5-07], [T-ENV-5-10], [T-ENV-5-11]. Ultimately, the decision between greenfield and brownfield lies in total timelines and costs. Greenfield faces lengthy approvals but simpler builds, while brownfield offers faster grid readiness but more remediation risks. Governmental willingness often decides which model delivers sooner and more cost-efficiently [T-ENV-5-02], [T-ENV-5-03].</w:t>
      </w:r>
    </w:p>
    <w:p w14:paraId="000000AD" w14:textId="77777777" w:rsidR="00594F75" w:rsidRDefault="00000000">
      <w:pPr>
        <w:spacing w:after="200"/>
        <w:jc w:val="left"/>
      </w:pPr>
      <w:r>
        <w:rPr>
          <w:b/>
          <w:color w:val="024EA2"/>
        </w:rPr>
        <w:t>Facts:</w:t>
      </w:r>
    </w:p>
    <w:p w14:paraId="000000AE"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Public sentiment tends to favor brownfield over greenfield, e.g., a 2024 UK survey found ~80% positive attitudes to brownfield regeneration [T-ENV-5-13].</w:t>
      </w:r>
    </w:p>
    <w:p w14:paraId="000000AF"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European grids need ~1.2T EUR in upgrades by 2040; therefore, prioritizing sites with existing grid capacity helps deliver compute sooner with fewer network reinforcements [T-ENV-5-14].</w:t>
      </w:r>
    </w:p>
    <w:p w14:paraId="000000B0"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Reusing buildings can significantly reduce embodied carbon, which can account for up to 50% of a data center’s lifetime carbon dioxide footprint [T-ENV-5-03].</w:t>
      </w:r>
    </w:p>
    <w:p w14:paraId="000000B1"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rPr>
          <w:b/>
        </w:rPr>
      </w:pPr>
      <w:r>
        <w:t>Retired coal and gas plants owned by Engie, RWE, and Enel are already being redeveloped into data centers, offering the first pilot projects [T-ENV-5-01], [T-ENV-5-05].</w:t>
      </w:r>
    </w:p>
    <w:p w14:paraId="000000B2" w14:textId="77777777" w:rsidR="00594F75" w:rsidRDefault="00594F75">
      <w:pPr>
        <w:pBdr>
          <w:top w:val="none" w:sz="0" w:space="0" w:color="auto"/>
          <w:left w:val="none" w:sz="0" w:space="0" w:color="auto"/>
          <w:bottom w:val="none" w:sz="0" w:space="0" w:color="auto"/>
          <w:right w:val="none" w:sz="0" w:space="0" w:color="auto"/>
          <w:between w:val="none" w:sz="0" w:space="0" w:color="auto"/>
        </w:pBdr>
        <w:ind w:left="720"/>
        <w:jc w:val="left"/>
        <w:rPr>
          <w:b/>
        </w:rPr>
      </w:pPr>
    </w:p>
    <w:p w14:paraId="000000B3" w14:textId="77777777" w:rsidR="00594F75" w:rsidRDefault="00000000">
      <w:pPr>
        <w:spacing w:after="200"/>
        <w:jc w:val="left"/>
      </w:pPr>
      <w:r>
        <w:rPr>
          <w:b/>
          <w:color w:val="024EA2"/>
        </w:rPr>
        <w:t>Key Drivers:</w:t>
      </w:r>
    </w:p>
    <w:p w14:paraId="000000B4"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Surging demand for sovereign cloud and AI makes rapid deployment essential, as delays risk capacity shortages, higher costs, and reliance on non-EU providers [T-ENV-5-02].</w:t>
      </w:r>
    </w:p>
    <w:p w14:paraId="000000B5"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 xml:space="preserve">EU incentives for remediation and site regeneration, such as the ERDF and LIFE </w:t>
      </w:r>
      <w:proofErr w:type="spellStart"/>
      <w:r>
        <w:t>programmes</w:t>
      </w:r>
      <w:proofErr w:type="spellEnd"/>
      <w:r>
        <w:t>, improve the financial viability of brownfield developments [T-ENV-5-06], [T-ENV-5-08].</w:t>
      </w:r>
    </w:p>
    <w:p w14:paraId="000000B6"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 xml:space="preserve">Community support is typically stronger for </w:t>
      </w:r>
      <w:proofErr w:type="spellStart"/>
      <w:r>
        <w:t>revitalising</w:t>
      </w:r>
      <w:proofErr w:type="spellEnd"/>
      <w:r>
        <w:t xml:space="preserve"> industrial land than for building new sites on farmland or near sensitive landscapes, </w:t>
      </w:r>
      <w:proofErr w:type="gramStart"/>
      <w:r>
        <w:t>provided that</w:t>
      </w:r>
      <w:proofErr w:type="gramEnd"/>
      <w:r>
        <w:t xml:space="preserve"> water use, noise, and traffic impacts are carefully managed [T-ENV-5-04].</w:t>
      </w:r>
    </w:p>
    <w:p w14:paraId="000000B7" w14:textId="77777777" w:rsidR="00594F75" w:rsidRDefault="00594F75">
      <w:pPr>
        <w:spacing w:after="200"/>
        <w:jc w:val="left"/>
      </w:pPr>
    </w:p>
    <w:p w14:paraId="000000B8" w14:textId="77777777" w:rsidR="00594F75" w:rsidRDefault="00000000">
      <w:pPr>
        <w:spacing w:after="200"/>
        <w:jc w:val="left"/>
        <w:rPr>
          <w:b/>
        </w:rPr>
      </w:pPr>
      <w:r>
        <w:rPr>
          <w:b/>
          <w:color w:val="024EA2"/>
        </w:rPr>
        <w:t>Challenges:</w:t>
      </w:r>
    </w:p>
    <w:p w14:paraId="000000B9"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 xml:space="preserve">Many brownfield sites require costly remediation, which can be particularly challenging when involving strict safety protocols and </w:t>
      </w:r>
      <w:proofErr w:type="spellStart"/>
      <w:r>
        <w:t>specialised</w:t>
      </w:r>
      <w:proofErr w:type="spellEnd"/>
      <w:r>
        <w:t xml:space="preserve"> disposal [T-ENV-5-06], [T-ENV-5-07].</w:t>
      </w:r>
    </w:p>
    <w:p w14:paraId="000000BA"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Legacy site layouts may not support high rack densities or advanced liquid cooling without major structural works, e.g., ceiling heights, raising retrofit costs and limiting long-term scalability [T-ENV-5-10], [T-ENV-5-11].</w:t>
      </w:r>
    </w:p>
    <w:p w14:paraId="000000BB" w14:textId="77777777" w:rsidR="00594F75" w:rsidRDefault="00000000">
      <w:pPr>
        <w:numPr>
          <w:ilvl w:val="0"/>
          <w:numId w:val="2"/>
        </w:numPr>
        <w:pBdr>
          <w:top w:val="none" w:sz="0" w:space="0" w:color="auto"/>
          <w:left w:val="none" w:sz="0" w:space="0" w:color="auto"/>
          <w:bottom w:val="none" w:sz="0" w:space="0" w:color="auto"/>
          <w:right w:val="none" w:sz="0" w:space="0" w:color="auto"/>
          <w:between w:val="none" w:sz="0" w:space="0" w:color="auto"/>
        </w:pBdr>
        <w:jc w:val="left"/>
      </w:pPr>
      <w:r>
        <w:t>Slow and fragmented permitting across multiple agencies, combined with unclear liability rules, can negate the brownfield time advantage [T-ENV-5-02], [T-ENV-5-06], [T-ENV-5-08].</w:t>
      </w:r>
    </w:p>
    <w:p w14:paraId="000000BC" w14:textId="77777777" w:rsidR="00594F75" w:rsidRDefault="00594F75">
      <w:pPr>
        <w:pBdr>
          <w:top w:val="none" w:sz="0" w:space="0" w:color="auto"/>
          <w:left w:val="none" w:sz="0" w:space="0" w:color="auto"/>
          <w:bottom w:val="none" w:sz="0" w:space="0" w:color="auto"/>
          <w:right w:val="none" w:sz="0" w:space="0" w:color="auto"/>
          <w:between w:val="none" w:sz="0" w:space="0" w:color="auto"/>
        </w:pBdr>
        <w:jc w:val="left"/>
      </w:pPr>
    </w:p>
    <w:p w14:paraId="000000BD" w14:textId="77777777" w:rsidR="00594F75" w:rsidRDefault="00000000">
      <w:pPr>
        <w:spacing w:after="200"/>
        <w:jc w:val="left"/>
      </w:pPr>
      <w:r>
        <w:rPr>
          <w:b/>
          <w:color w:val="024EA2"/>
        </w:rPr>
        <w:t>Impact on Digital Sovereignty:</w:t>
      </w:r>
    </w:p>
    <w:p w14:paraId="000000BE" w14:textId="77777777" w:rsidR="00594F75" w:rsidRDefault="00000000">
      <w:pPr>
        <w:spacing w:after="200"/>
        <w:jc w:val="left"/>
      </w:pPr>
      <w:proofErr w:type="spellStart"/>
      <w:r>
        <w:t>Prioritising</w:t>
      </w:r>
      <w:proofErr w:type="spellEnd"/>
      <w:r>
        <w:t xml:space="preserve"> brownfield reuse lets Europe expand sovereign cloud and AI infrastructure faster while keeping operations under EU law through data residency and security controls. This approach shortens grid connection times, avoids the production of thousands of tons of concrete and steel, and aligns growth with EU climate targets [T-ENV-5-03]. Because industrial sites face less community opposition, it also strengthens the political and social backing for sovereignty initiatives [T-ENV-5-04]. Together, these benefits reduce reliance on non-EU providers, limit extraterritorial access risks, and give the EU greater control over technical and security standards. A balanced mix of brownfield reuse and targeted greenfield builds ensures long-term capacity and resilience [T-ENV-5-08].</w:t>
      </w:r>
    </w:p>
    <w:p w14:paraId="000000BF" w14:textId="77777777" w:rsidR="00594F75" w:rsidRDefault="00594F75">
      <w:pPr>
        <w:pBdr>
          <w:top w:val="none" w:sz="0" w:space="0" w:color="auto"/>
          <w:left w:val="none" w:sz="0" w:space="0" w:color="auto"/>
          <w:bottom w:val="none" w:sz="0" w:space="0" w:color="auto"/>
          <w:right w:val="none" w:sz="0" w:space="0" w:color="auto"/>
          <w:between w:val="none" w:sz="0" w:space="0" w:color="auto"/>
        </w:pBdr>
        <w:jc w:val="left"/>
        <w:rPr>
          <w:b/>
          <w:color w:val="024EA2"/>
        </w:rPr>
      </w:pPr>
    </w:p>
    <w:p w14:paraId="000000C0" w14:textId="77777777" w:rsidR="00594F75" w:rsidRDefault="00000000">
      <w:pPr>
        <w:pStyle w:val="Heading2"/>
        <w:keepNext w:val="0"/>
        <w:keepLines w:val="0"/>
        <w:spacing w:before="0"/>
        <w:jc w:val="left"/>
        <w:rPr>
          <w:rFonts w:ascii="Avenir" w:eastAsia="Avenir" w:hAnsi="Avenir" w:cs="Avenir"/>
          <w:b/>
          <w:color w:val="024EA2"/>
          <w:sz w:val="15"/>
          <w:szCs w:val="15"/>
        </w:rPr>
      </w:pPr>
      <w:bookmarkStart w:id="15" w:name="_heading=h.3t14re4oq1ho" w:colFirst="0" w:colLast="0"/>
      <w:bookmarkEnd w:id="15"/>
      <w:r>
        <w:br w:type="page"/>
      </w:r>
    </w:p>
    <w:p w14:paraId="000000C1" w14:textId="77777777" w:rsidR="00594F75" w:rsidRDefault="00000000">
      <w:pPr>
        <w:pStyle w:val="Heading2"/>
        <w:keepNext w:val="0"/>
        <w:keepLines w:val="0"/>
        <w:spacing w:before="0"/>
        <w:jc w:val="left"/>
        <w:rPr>
          <w:rFonts w:ascii="Avenir" w:eastAsia="Avenir" w:hAnsi="Avenir" w:cs="Avenir"/>
          <w:b/>
        </w:rPr>
      </w:pPr>
      <w:bookmarkStart w:id="16" w:name="_heading=h.7qqi6z63lb2u" w:colFirst="0" w:colLast="0"/>
      <w:bookmarkEnd w:id="16"/>
      <w:r>
        <w:rPr>
          <w:rFonts w:ascii="Avenir" w:eastAsia="Avenir" w:hAnsi="Avenir" w:cs="Avenir"/>
          <w:b/>
          <w:color w:val="024EA2"/>
          <w:sz w:val="15"/>
          <w:szCs w:val="15"/>
        </w:rPr>
        <w:lastRenderedPageBreak/>
        <w:t>Sources</w:t>
      </w:r>
    </w:p>
    <w:p w14:paraId="000000C2" w14:textId="77777777" w:rsidR="00594F75" w:rsidRPr="00A71C00" w:rsidRDefault="00000000">
      <w:pPr>
        <w:spacing w:after="200"/>
        <w:jc w:val="left"/>
        <w:rPr>
          <w:lang w:val="de-DE"/>
        </w:rPr>
      </w:pPr>
      <w:r>
        <w:t xml:space="preserve">[T-ENV-5-01]: Reuters. (2025, August 5). </w:t>
      </w:r>
      <w:r>
        <w:rPr>
          <w:i/>
        </w:rPr>
        <w:t>Europe’s old power plants to get digital makeover driven by AI boom</w:t>
      </w:r>
      <w:r>
        <w:t xml:space="preserve">. </w:t>
      </w:r>
      <w:r w:rsidRPr="00A71C00">
        <w:rPr>
          <w:lang w:val="de-DE"/>
        </w:rPr>
        <w:t>Reuters. https://www.reuters.com/sustainability/climate-energy/europes-old-power-plants-get-digital-makeover-driven-by-ai-boom-2025-08-05/</w:t>
      </w:r>
    </w:p>
    <w:p w14:paraId="000000C3" w14:textId="77777777" w:rsidR="00594F75" w:rsidRDefault="00000000">
      <w:pPr>
        <w:spacing w:after="200"/>
        <w:jc w:val="left"/>
      </w:pPr>
      <w:r>
        <w:t xml:space="preserve">[T-ENV-5-02]: Ember. (2025, June). </w:t>
      </w:r>
      <w:r>
        <w:rPr>
          <w:i/>
        </w:rPr>
        <w:t xml:space="preserve">Grids for data </w:t>
      </w:r>
      <w:proofErr w:type="spellStart"/>
      <w:r>
        <w:rPr>
          <w:i/>
        </w:rPr>
        <w:t>centres</w:t>
      </w:r>
      <w:proofErr w:type="spellEnd"/>
      <w:r>
        <w:rPr>
          <w:i/>
        </w:rPr>
        <w:t xml:space="preserve"> in Europe</w:t>
      </w:r>
      <w:r>
        <w:t>. Ember. https://ember-energy.org/app/uploads/2025/06/Grids-for-data-centres-in-Europe.pdf</w:t>
      </w:r>
    </w:p>
    <w:p w14:paraId="000000C4" w14:textId="77777777" w:rsidR="00594F75" w:rsidRDefault="00000000">
      <w:pPr>
        <w:spacing w:after="200"/>
        <w:jc w:val="left"/>
      </w:pPr>
      <w:r>
        <w:t xml:space="preserve">[T-ENV-5-03]: Datacenter Dynamics. (2023, October). </w:t>
      </w:r>
      <w:r>
        <w:rPr>
          <w:i/>
        </w:rPr>
        <w:t>Building reuse avoids new embodied carbon</w:t>
      </w:r>
      <w:r>
        <w:t>. Datacenter Dynamics. https://www.datacenterdynamics.com/en/marketwatch/the-embodied-carbon-challenge-for-truly-net-zero-data-centers/</w:t>
      </w:r>
    </w:p>
    <w:p w14:paraId="000000C5" w14:textId="77777777" w:rsidR="00594F75" w:rsidRDefault="00000000">
      <w:pPr>
        <w:spacing w:after="200"/>
        <w:jc w:val="left"/>
      </w:pPr>
      <w:r>
        <w:t xml:space="preserve">[T-ENV-5-04]: </w:t>
      </w:r>
      <w:proofErr w:type="spellStart"/>
      <w:r>
        <w:t>AlgorithmWatch</w:t>
      </w:r>
      <w:proofErr w:type="spellEnd"/>
      <w:r>
        <w:t xml:space="preserve">. (2023, August 10). </w:t>
      </w:r>
      <w:r>
        <w:rPr>
          <w:i/>
        </w:rPr>
        <w:t xml:space="preserve">Infrastructure or intrusion? Europe’s conflicted data </w:t>
      </w:r>
      <w:proofErr w:type="spellStart"/>
      <w:r>
        <w:rPr>
          <w:i/>
        </w:rPr>
        <w:t>centre</w:t>
      </w:r>
      <w:proofErr w:type="spellEnd"/>
      <w:r>
        <w:rPr>
          <w:i/>
        </w:rPr>
        <w:t xml:space="preserve"> expansion</w:t>
      </w:r>
      <w:r>
        <w:t xml:space="preserve">. </w:t>
      </w:r>
      <w:proofErr w:type="spellStart"/>
      <w:r>
        <w:t>AlgorithmWatch</w:t>
      </w:r>
      <w:proofErr w:type="spellEnd"/>
      <w:r>
        <w:t>. https://algorithmwatch.org/en/infrastructure-intrusion-conflict-data-center/</w:t>
      </w:r>
    </w:p>
    <w:p w14:paraId="000000C6" w14:textId="77777777" w:rsidR="00594F75" w:rsidRDefault="00000000">
      <w:pPr>
        <w:spacing w:after="200"/>
        <w:jc w:val="left"/>
      </w:pPr>
      <w:r>
        <w:t xml:space="preserve">[T-ENV-5-05]: Fortune. (2025, August 31). </w:t>
      </w:r>
      <w:r>
        <w:rPr>
          <w:i/>
        </w:rPr>
        <w:t>AI-center boom repurposes old coal plants</w:t>
      </w:r>
      <w:r>
        <w:t>. Fortune. https://fortune.com/2025/08/31/ai-data-center-boom-old-coal-plants/</w:t>
      </w:r>
    </w:p>
    <w:p w14:paraId="000000C7" w14:textId="77777777" w:rsidR="00594F75" w:rsidRDefault="00000000">
      <w:pPr>
        <w:spacing w:after="200"/>
        <w:jc w:val="left"/>
      </w:pPr>
      <w:r>
        <w:t xml:space="preserve">[T-ENV-5-06]: European Commission. (2019). </w:t>
      </w:r>
      <w:r>
        <w:rPr>
          <w:i/>
        </w:rPr>
        <w:t>Brownfield redevelopment in Europe</w:t>
      </w:r>
      <w:r>
        <w:t>. Publications Office of the European Union. https://commission.europa.eu/system/files/2019-04/brownfield_conference_report_0.pdf</w:t>
      </w:r>
    </w:p>
    <w:p w14:paraId="000000C8" w14:textId="77777777" w:rsidR="00594F75" w:rsidRDefault="00000000">
      <w:pPr>
        <w:spacing w:after="200"/>
        <w:jc w:val="left"/>
      </w:pPr>
      <w:r>
        <w:t xml:space="preserve">[T-ENV-5-07]: Joint Research Centre. (2016). </w:t>
      </w:r>
      <w:r>
        <w:rPr>
          <w:i/>
        </w:rPr>
        <w:t>Remediated sites and brownfields: Success stories in Europe</w:t>
      </w:r>
      <w:r>
        <w:t>. European Commission. https://publications.jrc.ec.europa.eu/repository/bitstream/JRC98077/lbna27530enn.pdf</w:t>
      </w:r>
    </w:p>
    <w:p w14:paraId="000000C9" w14:textId="77777777" w:rsidR="00594F75" w:rsidRDefault="00000000">
      <w:pPr>
        <w:spacing w:after="200"/>
        <w:jc w:val="left"/>
      </w:pPr>
      <w:r>
        <w:t xml:space="preserve">[T-ENV-5-08]: Clean Energy Wire. (2021, March 15). </w:t>
      </w:r>
      <w:r>
        <w:rPr>
          <w:i/>
        </w:rPr>
        <w:t>Tesla calls for speedy permits for climate friendly projects in Germany</w:t>
      </w:r>
      <w:r>
        <w:t>. Clean Energy Wire. https://www.cleanenergywire.org/news/tesla-calls-speedy-permits-climate-friendly-projects-berlin-gigafactory-awaits-approval</w:t>
      </w:r>
    </w:p>
    <w:p w14:paraId="000000CA" w14:textId="77777777" w:rsidR="00594F75" w:rsidRDefault="00000000">
      <w:pPr>
        <w:spacing w:after="200"/>
        <w:jc w:val="left"/>
      </w:pPr>
      <w:r>
        <w:t xml:space="preserve">[T-ENV-5-09]: Springer. (2022). </w:t>
      </w:r>
      <w:r>
        <w:rPr>
          <w:i/>
        </w:rPr>
        <w:t>Reducing Construction Waste Through Modular Construction</w:t>
      </w:r>
      <w:r>
        <w:t xml:space="preserve">. In </w:t>
      </w:r>
      <w:r>
        <w:rPr>
          <w:i/>
        </w:rPr>
        <w:t>Proceedings of the International Conference on Sustainable Construction</w:t>
      </w:r>
      <w:r>
        <w:t>. Springer. https://link.springer.com/chapter/10.1007/978-981-19-5256-2_27</w:t>
      </w:r>
    </w:p>
    <w:p w14:paraId="000000CB" w14:textId="77777777" w:rsidR="00594F75" w:rsidRDefault="00000000">
      <w:pPr>
        <w:spacing w:after="200"/>
        <w:jc w:val="left"/>
      </w:pPr>
      <w:r>
        <w:t xml:space="preserve">[T-ENV-5-10]: Data Center Frontier. (2022, September). </w:t>
      </w:r>
      <w:r>
        <w:rPr>
          <w:i/>
        </w:rPr>
        <w:t>Sustainably meeting high density cooling challenges</w:t>
      </w:r>
      <w:r>
        <w:t>. Data Center Frontier. https://img.datacenterfrontier.com/files/base/ebm/datacenterfrontier/document/2022/09/1663627616044-dcfspecialreporthighdensitycoolingchallengesv3.pdf</w:t>
      </w:r>
    </w:p>
    <w:p w14:paraId="000000CC" w14:textId="77777777" w:rsidR="00594F75" w:rsidRDefault="00000000">
      <w:pPr>
        <w:spacing w:after="200"/>
        <w:jc w:val="left"/>
      </w:pPr>
      <w:r>
        <w:t xml:space="preserve">[T-ENV-5-11]: ASHRAE. (2021). </w:t>
      </w:r>
      <w:r>
        <w:rPr>
          <w:i/>
        </w:rPr>
        <w:t xml:space="preserve">Emergence and expansion of liquid cooling in mainstream data </w:t>
      </w:r>
      <w:proofErr w:type="spellStart"/>
      <w:r>
        <w:rPr>
          <w:i/>
        </w:rPr>
        <w:t>centres</w:t>
      </w:r>
      <w:proofErr w:type="spellEnd"/>
      <w:r>
        <w:t>. ASHRAE. https://www.ashrae.org/file%20library/technical%20resources/bookstore/emergence-and-expansion-of-liquid-cooling-in-mainstream-data-centers_wp.pdf</w:t>
      </w:r>
    </w:p>
    <w:p w14:paraId="000000CD" w14:textId="77777777" w:rsidR="00594F75" w:rsidRDefault="00000000">
      <w:pPr>
        <w:spacing w:after="200"/>
        <w:jc w:val="left"/>
      </w:pPr>
      <w:r>
        <w:t xml:space="preserve">[T-ENV-5-12]: Ascon Systems. (2024). </w:t>
      </w:r>
      <w:r>
        <w:rPr>
          <w:i/>
        </w:rPr>
        <w:t>Research with digital twins and retrofit: Saving resources</w:t>
      </w:r>
      <w:r>
        <w:t>. Ascon Systems. https://ascon-systems.de/en/resources/research-with-digital-twins-and-retrofit-saving-resources/</w:t>
      </w:r>
    </w:p>
    <w:p w14:paraId="000000CE" w14:textId="77777777" w:rsidR="00594F75" w:rsidRDefault="00594F75">
      <w:pPr>
        <w:spacing w:after="200"/>
      </w:pPr>
    </w:p>
    <w:p w14:paraId="000000CF" w14:textId="77777777" w:rsidR="00594F75" w:rsidRDefault="00594F75">
      <w:pPr>
        <w:spacing w:after="200"/>
      </w:pPr>
    </w:p>
    <w:p w14:paraId="000000D0" w14:textId="77777777" w:rsidR="00594F75" w:rsidRDefault="00594F75">
      <w:pPr>
        <w:spacing w:after="200"/>
      </w:pPr>
    </w:p>
    <w:p w14:paraId="000000D1" w14:textId="77777777" w:rsidR="00594F75" w:rsidRDefault="00594F75">
      <w:pPr>
        <w:spacing w:after="200"/>
      </w:pPr>
    </w:p>
    <w:p w14:paraId="000000D2" w14:textId="77777777" w:rsidR="00594F75" w:rsidRDefault="00594F75">
      <w:pPr>
        <w:spacing w:after="200"/>
      </w:pPr>
    </w:p>
    <w:p w14:paraId="000000D3" w14:textId="77777777" w:rsidR="00594F75" w:rsidRDefault="00594F75">
      <w:pPr>
        <w:spacing w:after="200"/>
      </w:pPr>
    </w:p>
    <w:p w14:paraId="000000D4" w14:textId="77777777" w:rsidR="00594F75" w:rsidRDefault="00594F75">
      <w:pPr>
        <w:spacing w:after="200"/>
      </w:pPr>
    </w:p>
    <w:p w14:paraId="000000D5" w14:textId="77777777" w:rsidR="00594F75" w:rsidRDefault="00594F75">
      <w:pPr>
        <w:spacing w:after="200"/>
      </w:pPr>
    </w:p>
    <w:p w14:paraId="000000D6" w14:textId="77777777" w:rsidR="00594F75" w:rsidRDefault="00594F75">
      <w:pPr>
        <w:spacing w:after="200"/>
      </w:pPr>
    </w:p>
    <w:p w14:paraId="000000D7" w14:textId="77777777" w:rsidR="00594F75" w:rsidRDefault="00594F75">
      <w:pPr>
        <w:spacing w:after="200"/>
      </w:pPr>
    </w:p>
    <w:p w14:paraId="000000D8" w14:textId="77777777" w:rsidR="00594F75" w:rsidRDefault="00594F75">
      <w:pPr>
        <w:spacing w:after="200"/>
      </w:pPr>
    </w:p>
    <w:p w14:paraId="000000D9" w14:textId="77777777" w:rsidR="00594F75" w:rsidRDefault="00594F75">
      <w:pPr>
        <w:spacing w:after="200"/>
      </w:pPr>
    </w:p>
    <w:p w14:paraId="000000DA" w14:textId="77777777" w:rsidR="00594F75" w:rsidRDefault="00594F75">
      <w:pPr>
        <w:spacing w:after="200"/>
      </w:pPr>
    </w:p>
    <w:p w14:paraId="000000DB" w14:textId="77777777" w:rsidR="00594F75" w:rsidRDefault="00000000">
      <w:pPr>
        <w:spacing w:after="200"/>
        <w:jc w:val="left"/>
      </w:pPr>
      <w:r>
        <w:br w:type="page"/>
      </w:r>
    </w:p>
    <w:p w14:paraId="000000DC" w14:textId="77777777" w:rsidR="00594F75" w:rsidRDefault="00000000">
      <w:pPr>
        <w:pStyle w:val="Heading1"/>
        <w:spacing w:after="200"/>
        <w:rPr>
          <w:color w:val="15383D"/>
          <w:sz w:val="15"/>
          <w:szCs w:val="15"/>
          <w:highlight w:val="white"/>
        </w:rPr>
      </w:pPr>
      <w:bookmarkStart w:id="17" w:name="_heading=h.yuxv41eh9gax" w:colFirst="0" w:colLast="0"/>
      <w:bookmarkEnd w:id="17"/>
      <w:r>
        <w:lastRenderedPageBreak/>
        <w:t>Abbreviations</w:t>
      </w:r>
    </w:p>
    <w:p w14:paraId="000000DD" w14:textId="77777777" w:rsidR="00594F75" w:rsidRDefault="00000000">
      <w:pPr>
        <w:spacing w:after="200"/>
      </w:pPr>
      <w:r>
        <w:rPr>
          <w:b/>
        </w:rPr>
        <w:t>AI</w:t>
      </w:r>
      <w:r>
        <w:t xml:space="preserve"> – Artificial Intelligence</w:t>
      </w:r>
    </w:p>
    <w:p w14:paraId="000000DE" w14:textId="77777777" w:rsidR="00594F75" w:rsidRDefault="00000000">
      <w:pPr>
        <w:spacing w:after="200"/>
      </w:pPr>
      <w:r>
        <w:rPr>
          <w:b/>
        </w:rPr>
        <w:t>CMS</w:t>
      </w:r>
      <w:r>
        <w:t xml:space="preserve"> – Content Management System / CMS Law-Now</w:t>
      </w:r>
    </w:p>
    <w:p w14:paraId="000000DF" w14:textId="77777777" w:rsidR="00594F75" w:rsidRDefault="00000000">
      <w:pPr>
        <w:spacing w:after="200"/>
      </w:pPr>
      <w:r>
        <w:rPr>
          <w:b/>
        </w:rPr>
        <w:t>CRMA</w:t>
      </w:r>
      <w:r>
        <w:t xml:space="preserve"> – Critical Raw Materials Act</w:t>
      </w:r>
    </w:p>
    <w:p w14:paraId="000000E0" w14:textId="77777777" w:rsidR="00594F75" w:rsidRDefault="00000000">
      <w:pPr>
        <w:spacing w:after="200"/>
      </w:pPr>
      <w:r>
        <w:rPr>
          <w:b/>
        </w:rPr>
        <w:t>CSRD</w:t>
      </w:r>
      <w:r>
        <w:t xml:space="preserve"> – Corporate Sustainability Reporting Directive</w:t>
      </w:r>
    </w:p>
    <w:p w14:paraId="000000E1" w14:textId="77777777" w:rsidR="00594F75" w:rsidRDefault="00000000">
      <w:pPr>
        <w:spacing w:after="200"/>
      </w:pPr>
      <w:r>
        <w:rPr>
          <w:b/>
        </w:rPr>
        <w:t>EED</w:t>
      </w:r>
      <w:r>
        <w:t xml:space="preserve"> – Energy Efficiency Directive</w:t>
      </w:r>
    </w:p>
    <w:p w14:paraId="000000E2" w14:textId="77777777" w:rsidR="00594F75" w:rsidRDefault="00000000">
      <w:pPr>
        <w:spacing w:after="200"/>
      </w:pPr>
      <w:r>
        <w:rPr>
          <w:b/>
        </w:rPr>
        <w:t>ESRS</w:t>
      </w:r>
      <w:r>
        <w:t xml:space="preserve"> – European Sustainability Reporting Standards</w:t>
      </w:r>
    </w:p>
    <w:p w14:paraId="000000E3" w14:textId="77777777" w:rsidR="00594F75" w:rsidRDefault="00000000">
      <w:pPr>
        <w:spacing w:after="200"/>
      </w:pPr>
      <w:r>
        <w:rPr>
          <w:b/>
        </w:rPr>
        <w:t>EU</w:t>
      </w:r>
      <w:r>
        <w:t xml:space="preserve"> – European Union</w:t>
      </w:r>
    </w:p>
    <w:p w14:paraId="000000E4" w14:textId="77777777" w:rsidR="00594F75" w:rsidRDefault="00000000">
      <w:pPr>
        <w:spacing w:after="200"/>
      </w:pPr>
      <w:r>
        <w:rPr>
          <w:b/>
        </w:rPr>
        <w:t>ITU</w:t>
      </w:r>
      <w:r>
        <w:t xml:space="preserve"> – International Telecommunication Union</w:t>
      </w:r>
    </w:p>
    <w:p w14:paraId="000000E5" w14:textId="77777777" w:rsidR="00594F75" w:rsidRDefault="00000000">
      <w:pPr>
        <w:spacing w:after="200"/>
      </w:pPr>
      <w:r>
        <w:rPr>
          <w:b/>
        </w:rPr>
        <w:t>PPAs</w:t>
      </w:r>
      <w:r>
        <w:t xml:space="preserve"> – Power Purchase Agreements</w:t>
      </w:r>
    </w:p>
    <w:p w14:paraId="000000E6" w14:textId="77777777" w:rsidR="00594F75" w:rsidRDefault="00000000">
      <w:pPr>
        <w:spacing w:after="200"/>
      </w:pPr>
      <w:r>
        <w:rPr>
          <w:b/>
        </w:rPr>
        <w:t>PUE</w:t>
      </w:r>
      <w:r>
        <w:t xml:space="preserve"> – Power Usage Effectiveness</w:t>
      </w:r>
    </w:p>
    <w:p w14:paraId="000000E7" w14:textId="77777777" w:rsidR="00594F75" w:rsidRDefault="00000000">
      <w:pPr>
        <w:spacing w:after="200"/>
      </w:pPr>
      <w:r>
        <w:rPr>
          <w:b/>
        </w:rPr>
        <w:t>SMEs</w:t>
      </w:r>
      <w:r>
        <w:t xml:space="preserve"> – Small and Medium-sized Enterprises</w:t>
      </w:r>
    </w:p>
    <w:p w14:paraId="000000E8" w14:textId="77777777" w:rsidR="00594F75" w:rsidRDefault="00000000">
      <w:pPr>
        <w:spacing w:after="200"/>
      </w:pPr>
      <w:r>
        <w:rPr>
          <w:b/>
        </w:rPr>
        <w:t>TWh</w:t>
      </w:r>
      <w:r>
        <w:t xml:space="preserve"> – Terawatt-hours</w:t>
      </w:r>
    </w:p>
    <w:p w14:paraId="000000E9" w14:textId="77777777" w:rsidR="00594F75" w:rsidRDefault="00000000">
      <w:pPr>
        <w:spacing w:after="200"/>
      </w:pPr>
      <w:r>
        <w:rPr>
          <w:b/>
        </w:rPr>
        <w:t>WEEE</w:t>
      </w:r>
      <w:r>
        <w:t xml:space="preserve"> – Waste Electrical and Electronic Equipment (Directive)</w:t>
      </w:r>
    </w:p>
    <w:p w14:paraId="000000EA" w14:textId="77777777" w:rsidR="00594F75" w:rsidRDefault="00594F75">
      <w:pPr>
        <w:spacing w:after="200"/>
      </w:pPr>
    </w:p>
    <w:sectPr w:rsidR="00594F75">
      <w:headerReference w:type="default" r:id="rId23"/>
      <w:footerReference w:type="default" r:id="rId24"/>
      <w:pgSz w:w="11900" w:h="16840"/>
      <w:pgMar w:top="1417" w:right="1417" w:bottom="1134"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BD125" w14:textId="77777777" w:rsidR="00B170BD" w:rsidRDefault="00B170BD">
      <w:r>
        <w:separator/>
      </w:r>
    </w:p>
  </w:endnote>
  <w:endnote w:type="continuationSeparator" w:id="0">
    <w:p w14:paraId="0B07D4A6" w14:textId="77777777" w:rsidR="00B170BD" w:rsidRDefault="00B17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venir">
    <w:panose1 w:val="02000503020000020003"/>
    <w:charset w:val="00"/>
    <w:family w:val="auto"/>
    <w:pitch w:val="variable"/>
    <w:sig w:usb0="800000AF" w:usb1="5000204A" w:usb2="00000000" w:usb3="00000000" w:csb0="0000009B"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venir Black">
    <w:panose1 w:val="020B0803020203020204"/>
    <w:charset w:val="4D"/>
    <w:family w:val="swiss"/>
    <w:pitch w:val="variable"/>
    <w:sig w:usb0="800000AF" w:usb1="5000204A" w:usb2="00000000" w:usb3="00000000" w:csb0="0000009B" w:csb1="00000000"/>
  </w:font>
  <w:font w:name="Avenir Book">
    <w:panose1 w:val="02000503020000020003"/>
    <w:charset w:val="00"/>
    <w:family w:val="auto"/>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D" w14:textId="44B830E6" w:rsidR="00594F75" w:rsidRDefault="00000000">
    <w:pPr>
      <w:rPr>
        <w:rFonts w:ascii="Arial" w:eastAsia="Arial" w:hAnsi="Arial" w:cs="Arial"/>
      </w:rPr>
    </w:pPr>
    <w:r>
      <w:rPr>
        <w:rFonts w:ascii="Arial" w:eastAsia="Arial" w:hAnsi="Arial" w:cs="Arial"/>
      </w:rPr>
      <w:t xml:space="preserve">- </w:t>
    </w:r>
    <w:r>
      <w:rPr>
        <w:rFonts w:ascii="Arial" w:eastAsia="Arial" w:hAnsi="Arial" w:cs="Arial"/>
      </w:rPr>
      <w:fldChar w:fldCharType="begin"/>
    </w:r>
    <w:r>
      <w:rPr>
        <w:rFonts w:ascii="Arial" w:eastAsia="Arial" w:hAnsi="Arial" w:cs="Arial"/>
      </w:rPr>
      <w:instrText>PAGE</w:instrText>
    </w:r>
    <w:r>
      <w:rPr>
        <w:rFonts w:ascii="Arial" w:eastAsia="Arial" w:hAnsi="Arial" w:cs="Arial"/>
      </w:rPr>
      <w:fldChar w:fldCharType="separate"/>
    </w:r>
    <w:r w:rsidR="00E73CE9">
      <w:rPr>
        <w:rFonts w:ascii="Arial" w:eastAsia="Arial" w:hAnsi="Arial" w:cs="Arial"/>
        <w:noProof/>
      </w:rPr>
      <w:t>1</w:t>
    </w:r>
    <w:r>
      <w:rPr>
        <w:rFonts w:ascii="Arial" w:eastAsia="Arial" w:hAnsi="Arial" w:cs="Arial"/>
      </w:rPr>
      <w:fldChar w:fldCharType="end"/>
    </w:r>
    <w:r>
      <w:rPr>
        <w:rFonts w:ascii="Arial" w:eastAsia="Arial" w:hAnsi="Arial" w:cs="Arial"/>
      </w:rPr>
      <w:t xml:space="preserve"> / </w:t>
    </w:r>
    <w:r>
      <w:rPr>
        <w:rFonts w:ascii="Arial" w:eastAsia="Arial" w:hAnsi="Arial" w:cs="Arial"/>
      </w:rPr>
      <w:fldChar w:fldCharType="begin"/>
    </w:r>
    <w:r>
      <w:rPr>
        <w:rFonts w:ascii="Arial" w:eastAsia="Arial" w:hAnsi="Arial" w:cs="Arial"/>
      </w:rPr>
      <w:instrText>NUMPAGES</w:instrText>
    </w:r>
    <w:r>
      <w:rPr>
        <w:rFonts w:ascii="Arial" w:eastAsia="Arial" w:hAnsi="Arial" w:cs="Arial"/>
      </w:rPr>
      <w:fldChar w:fldCharType="separate"/>
    </w:r>
    <w:r w:rsidR="00E73CE9">
      <w:rPr>
        <w:rFonts w:ascii="Arial" w:eastAsia="Arial" w:hAnsi="Arial" w:cs="Arial"/>
        <w:noProof/>
      </w:rPr>
      <w:t>2</w:t>
    </w:r>
    <w:r>
      <w:rPr>
        <w:rFonts w:ascii="Arial" w:eastAsia="Arial" w:hAnsi="Arial" w:cs="Arial"/>
      </w:rPr>
      <w:fldChar w:fldCharType="end"/>
    </w:r>
    <w:r>
      <w:rPr>
        <w:rFonts w:ascii="Arial" w:eastAsia="Arial" w:hAnsi="Arial" w:cs="Arial"/>
      </w:rPr>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26440" w14:textId="77777777" w:rsidR="00B170BD" w:rsidRDefault="00B170BD">
      <w:r>
        <w:separator/>
      </w:r>
    </w:p>
  </w:footnote>
  <w:footnote w:type="continuationSeparator" w:id="0">
    <w:p w14:paraId="06517E03" w14:textId="77777777" w:rsidR="00B170BD" w:rsidRDefault="00B17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B" w14:textId="77777777" w:rsidR="00594F75" w:rsidRDefault="00000000">
    <w:pPr>
      <w:pBdr>
        <w:bottom w:val="single" w:sz="4" w:space="1" w:color="000000"/>
      </w:pBdr>
      <w:tabs>
        <w:tab w:val="left" w:pos="7795"/>
      </w:tabs>
    </w:pPr>
    <w:r>
      <w:t xml:space="preserve">Trend Phase: Environment Team </w:t>
    </w:r>
  </w:p>
  <w:p w14:paraId="000000EC" w14:textId="77777777" w:rsidR="00594F75" w:rsidRDefault="00000000">
    <w:pPr>
      <w:pBdr>
        <w:bottom w:val="single" w:sz="4" w:space="1" w:color="000000"/>
      </w:pBdr>
      <w:tabs>
        <w:tab w:val="left" w:pos="7795"/>
      </w:tabs>
    </w:pPr>
    <w:r>
      <w:t xml:space="preserve">Members: Benedikt Albertsen, Katy Grossmann, </w:t>
    </w:r>
    <w:proofErr w:type="spellStart"/>
    <w:r>
      <w:t>Jinjun</w:t>
    </w:r>
    <w:proofErr w:type="spellEnd"/>
    <w:r>
      <w:t xml:space="preserve"> Dong, Linnea Brand, Charlotte </w:t>
    </w:r>
    <w:proofErr w:type="spellStart"/>
    <w:r>
      <w:t>Schöllkopf</w:t>
    </w:r>
    <w:proofErr w:type="spellEnd"/>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F0F56"/>
    <w:multiLevelType w:val="multilevel"/>
    <w:tmpl w:val="FFB8BA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672C5B6A"/>
    <w:multiLevelType w:val="multilevel"/>
    <w:tmpl w:val="8604AB7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7C8A1D83"/>
    <w:multiLevelType w:val="multilevel"/>
    <w:tmpl w:val="D730FF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577252732">
    <w:abstractNumId w:val="1"/>
  </w:num>
  <w:num w:numId="2" w16cid:durableId="777678273">
    <w:abstractNumId w:val="2"/>
  </w:num>
  <w:num w:numId="3" w16cid:durableId="4033797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F75"/>
    <w:rsid w:val="00453D40"/>
    <w:rsid w:val="00594F75"/>
    <w:rsid w:val="006944AD"/>
    <w:rsid w:val="00763FAF"/>
    <w:rsid w:val="007B7CFB"/>
    <w:rsid w:val="00A71C00"/>
    <w:rsid w:val="00B170BD"/>
    <w:rsid w:val="00E73CE9"/>
    <w:rsid w:val="00F14173"/>
  </w:rsids>
  <m:mathPr>
    <m:mathFont m:val="Cambria Math"/>
    <m:brkBin m:val="before"/>
    <m:brkBinSub m:val="--"/>
    <m:smallFrac m:val="0"/>
    <m:dispDef/>
    <m:lMargin m:val="0"/>
    <m:rMargin m:val="0"/>
    <m:defJc m:val="centerGroup"/>
    <m:wrapIndent m:val="1440"/>
    <m:intLim m:val="subSup"/>
    <m:naryLim m:val="undOvr"/>
  </m:mathPr>
  <w:themeFontLang w:val="en-DE" w:bidi="th-TH"/>
  <w:clrSchemeMapping w:bg1="light1" w:t1="dark1" w:bg2="light2" w:t2="dark2" w:accent1="accent1" w:accent2="accent2" w:accent3="accent3" w:accent4="accent4" w:accent5="accent5" w:accent6="accent6" w:hyperlink="hyperlink" w:followedHyperlink="followedHyperlink"/>
  <w:decimalSymbol w:val=","/>
  <w:listSeparator w:val=","/>
  <w14:docId w14:val="4C5B6D59"/>
  <w15:docId w15:val="{6C30B5AE-48FF-0E42-8DC0-943A87D49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venir" w:eastAsia="Avenir" w:hAnsi="Avenir" w:cs="Avenir"/>
        <w:color w:val="3C3F42"/>
        <w:sz w:val="15"/>
        <w:szCs w:val="15"/>
        <w:lang w:val="en" w:eastAsia="en-GB" w:bidi="th-TH"/>
      </w:rPr>
    </w:rPrDefault>
    <w:pPrDefault>
      <w:pPr>
        <w:pBdr>
          <w:top w:val="none" w:sz="0" w:space="0" w:color="000000"/>
          <w:left w:val="none" w:sz="0" w:space="0" w:color="000000"/>
          <w:bottom w:val="none" w:sz="0" w:space="0" w:color="000000"/>
          <w:right w:val="none" w:sz="0" w:space="0" w:color="000000"/>
          <w:between w:val="none" w:sz="0" w:space="0" w:color="000000"/>
        </w:pBd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1"/>
    <w:uiPriority w:val="9"/>
    <w:qFormat/>
    <w:pPr>
      <w:keepNext/>
      <w:keepLines/>
      <w:outlineLvl w:val="0"/>
    </w:pPr>
    <w:rPr>
      <w:b/>
      <w:color w:val="5B9BD5"/>
      <w:sz w:val="24"/>
      <w:szCs w:val="24"/>
    </w:rPr>
  </w:style>
  <w:style w:type="paragraph" w:styleId="Heading2">
    <w:name w:val="heading 2"/>
    <w:basedOn w:val="Normal"/>
    <w:next w:val="Normal"/>
    <w:link w:val="Heading2Char1"/>
    <w:uiPriority w:val="9"/>
    <w:unhideWhenUsed/>
    <w:qFormat/>
    <w:pPr>
      <w:keepNext/>
      <w:keepLines/>
      <w:spacing w:before="360" w:after="200"/>
      <w:outlineLvl w:val="1"/>
    </w:pPr>
    <w:rPr>
      <w:rFonts w:ascii="Arial" w:eastAsia="Arial" w:hAnsi="Arial" w:cs="Arial"/>
      <w:sz w:val="34"/>
      <w:szCs w:val="34"/>
    </w:rPr>
  </w:style>
  <w:style w:type="paragraph" w:styleId="Heading3">
    <w:name w:val="heading 3"/>
    <w:basedOn w:val="Normal"/>
    <w:next w:val="Normal"/>
    <w:link w:val="Heading3Char1"/>
    <w:uiPriority w:val="9"/>
    <w:unhideWhenUsed/>
    <w:qFormat/>
    <w:pPr>
      <w:keepNext/>
      <w:keepLines/>
      <w:spacing w:before="320" w:after="200"/>
      <w:outlineLvl w:val="2"/>
    </w:pPr>
    <w:rPr>
      <w:rFonts w:ascii="Arial" w:eastAsia="Arial" w:hAnsi="Arial" w:cs="Arial"/>
      <w:sz w:val="30"/>
      <w:szCs w:val="30"/>
    </w:rPr>
  </w:style>
  <w:style w:type="paragraph" w:styleId="Heading4">
    <w:name w:val="heading 4"/>
    <w:basedOn w:val="Normal"/>
    <w:next w:val="Normal"/>
    <w:link w:val="Heading4Char1"/>
    <w:uiPriority w:val="9"/>
    <w:semiHidden/>
    <w:unhideWhenUsed/>
    <w:qFormat/>
    <w:pPr>
      <w:keepNext/>
      <w:keepLines/>
      <w:spacing w:before="320" w:after="200"/>
      <w:outlineLvl w:val="3"/>
    </w:pPr>
    <w:rPr>
      <w:rFonts w:ascii="Arial" w:eastAsia="Arial" w:hAnsi="Arial" w:cs="Arial"/>
      <w:b/>
      <w:sz w:val="26"/>
      <w:szCs w:val="26"/>
    </w:rPr>
  </w:style>
  <w:style w:type="paragraph" w:styleId="Heading5">
    <w:name w:val="heading 5"/>
    <w:basedOn w:val="Normal"/>
    <w:next w:val="Normal"/>
    <w:link w:val="Heading5Char1"/>
    <w:uiPriority w:val="9"/>
    <w:semiHidden/>
    <w:unhideWhenUsed/>
    <w:qFormat/>
    <w:pPr>
      <w:keepNext/>
      <w:keepLines/>
      <w:spacing w:before="320" w:after="200"/>
      <w:outlineLvl w:val="4"/>
    </w:pPr>
    <w:rPr>
      <w:rFonts w:ascii="Arial" w:eastAsia="Arial" w:hAnsi="Arial" w:cs="Arial"/>
      <w:b/>
      <w:sz w:val="24"/>
      <w:szCs w:val="24"/>
    </w:rPr>
  </w:style>
  <w:style w:type="paragraph" w:styleId="Heading6">
    <w:name w:val="heading 6"/>
    <w:basedOn w:val="Normal"/>
    <w:next w:val="Normal"/>
    <w:link w:val="Heading6Char1"/>
    <w:uiPriority w:val="9"/>
    <w:semiHidden/>
    <w:unhideWhenUsed/>
    <w:qFormat/>
    <w:pPr>
      <w:keepNext/>
      <w:keepLines/>
      <w:spacing w:before="320" w:after="200"/>
      <w:outlineLvl w:val="5"/>
    </w:pPr>
    <w:rPr>
      <w:rFonts w:ascii="Arial" w:eastAsia="Arial" w:hAnsi="Arial" w:cs="Arial"/>
      <w:b/>
      <w:sz w:val="22"/>
      <w:szCs w:val="22"/>
    </w:rPr>
  </w:style>
  <w:style w:type="paragraph" w:styleId="Heading7">
    <w:name w:val="heading 7"/>
    <w:basedOn w:val="Normal"/>
    <w:next w:val="Normal"/>
    <w:link w:val="Heading7Char1"/>
    <w:uiPriority w:val="9"/>
    <w:unhideWhenUsed/>
    <w:qFormat/>
    <w:pPr>
      <w:keepNext/>
      <w:keepLines/>
      <w:spacing w:before="320" w:after="200"/>
      <w:outlineLvl w:val="6"/>
    </w:pPr>
    <w:rPr>
      <w:rFonts w:ascii="Arial" w:eastAsia="Arial" w:hAnsi="Arial" w:cs="Arial"/>
      <w:b/>
      <w:bCs/>
      <w:i/>
      <w:iCs/>
      <w:sz w:val="22"/>
      <w:szCs w:val="22"/>
    </w:rPr>
  </w:style>
  <w:style w:type="paragraph" w:styleId="Heading8">
    <w:name w:val="heading 8"/>
    <w:basedOn w:val="Normal"/>
    <w:next w:val="Normal"/>
    <w:link w:val="Heading8Char1"/>
    <w:uiPriority w:val="9"/>
    <w:unhideWhenUsed/>
    <w:qFormat/>
    <w:pPr>
      <w:keepNext/>
      <w:keepLines/>
      <w:spacing w:before="320" w:after="200"/>
      <w:outlineLvl w:val="7"/>
    </w:pPr>
    <w:rPr>
      <w:rFonts w:ascii="Arial" w:eastAsia="Arial" w:hAnsi="Arial" w:cs="Arial"/>
      <w:i/>
      <w:iCs/>
      <w:sz w:val="22"/>
      <w:szCs w:val="22"/>
    </w:rPr>
  </w:style>
  <w:style w:type="paragraph" w:styleId="Heading9">
    <w:name w:val="heading 9"/>
    <w:basedOn w:val="Normal"/>
    <w:next w:val="Normal"/>
    <w:link w:val="Heading9Char1"/>
    <w:uiPriority w:val="9"/>
    <w:unhideWhenUsed/>
    <w:qFormat/>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link w:val="TitleChar1"/>
    <w:uiPriority w:val="10"/>
    <w:qFormat/>
    <w:rPr>
      <w:rFonts w:ascii="Calibri" w:eastAsia="Calibri" w:hAnsi="Calibri" w:cs="Calibri"/>
      <w:color w:val="000000"/>
      <w:sz w:val="56"/>
      <w:szCs w:val="56"/>
    </w:rPr>
  </w:style>
  <w:style w:type="table" w:customStyle="1" w:styleId="TableNormal1">
    <w:name w:val="TableNormal"/>
    <w:tblPr>
      <w:tblCellMar>
        <w:top w:w="100" w:type="dxa"/>
        <w:left w:w="100" w:type="dxa"/>
        <w:bottom w:w="100" w:type="dxa"/>
        <w:right w:w="100" w:type="dxa"/>
      </w:tblCellMar>
    </w:tblPr>
  </w:style>
  <w:style w:type="table" w:customStyle="1" w:styleId="TableNormal2">
    <w:name w:val="TableNormal"/>
    <w:tblPr>
      <w:tblCellMar>
        <w:top w:w="100" w:type="dxa"/>
        <w:left w:w="100" w:type="dxa"/>
        <w:bottom w:w="100" w:type="dxa"/>
        <w:right w:w="100" w:type="dxa"/>
      </w:tblCellMar>
    </w:tblPr>
  </w:style>
  <w:style w:type="table" w:customStyle="1" w:styleId="TableNormal3">
    <w:name w:val="TableNormal"/>
    <w:tblPr>
      <w:tblCellMar>
        <w:top w:w="0" w:type="dxa"/>
        <w:left w:w="0" w:type="dxa"/>
        <w:bottom w:w="0" w:type="dxa"/>
        <w:right w:w="0" w:type="dxa"/>
      </w:tblCellMar>
    </w:tblPr>
  </w:style>
  <w:style w:type="character" w:customStyle="1" w:styleId="Heading1Char">
    <w:name w:val="Heading 1 Char"/>
    <w:basedOn w:val="DefaultParagraphFont"/>
    <w:uiPriority w:val="9"/>
    <w:rPr>
      <w:rFonts w:ascii="Arial" w:eastAsia="Arial" w:hAnsi="Arial" w:cs="Arial"/>
      <w:sz w:val="40"/>
      <w:szCs w:val="40"/>
    </w:rPr>
  </w:style>
  <w:style w:type="character" w:customStyle="1" w:styleId="Heading2Char">
    <w:name w:val="Heading 2 Char"/>
    <w:basedOn w:val="DefaultParagraphFont"/>
    <w:uiPriority w:val="9"/>
    <w:rPr>
      <w:rFonts w:ascii="Arial" w:eastAsia="Arial" w:hAnsi="Arial" w:cs="Arial"/>
      <w:sz w:val="34"/>
    </w:rPr>
  </w:style>
  <w:style w:type="character" w:customStyle="1" w:styleId="Heading3Char">
    <w:name w:val="Heading 3 Char"/>
    <w:basedOn w:val="DefaultParagraphFont"/>
    <w:uiPriority w:val="9"/>
    <w:rPr>
      <w:rFonts w:ascii="Arial" w:eastAsia="Arial" w:hAnsi="Arial" w:cs="Arial"/>
      <w:sz w:val="30"/>
      <w:szCs w:val="30"/>
    </w:rPr>
  </w:style>
  <w:style w:type="character" w:customStyle="1" w:styleId="Heading4Char">
    <w:name w:val="Heading 4 Char"/>
    <w:basedOn w:val="DefaultParagraphFont"/>
    <w:uiPriority w:val="9"/>
    <w:rPr>
      <w:rFonts w:ascii="Arial" w:eastAsia="Arial" w:hAnsi="Arial" w:cs="Arial"/>
      <w:b/>
      <w:bCs/>
      <w:sz w:val="26"/>
      <w:szCs w:val="26"/>
    </w:rPr>
  </w:style>
  <w:style w:type="character" w:customStyle="1" w:styleId="Heading5Char">
    <w:name w:val="Heading 5 Char"/>
    <w:basedOn w:val="DefaultParagraphFont"/>
    <w:uiPriority w:val="9"/>
    <w:rPr>
      <w:rFonts w:ascii="Arial" w:eastAsia="Arial" w:hAnsi="Arial" w:cs="Arial"/>
      <w:b/>
      <w:bCs/>
      <w:sz w:val="24"/>
      <w:szCs w:val="24"/>
    </w:rPr>
  </w:style>
  <w:style w:type="character" w:customStyle="1" w:styleId="Heading6Char">
    <w:name w:val="Heading 6 Char"/>
    <w:basedOn w:val="DefaultParagraphFont"/>
    <w:uiPriority w:val="9"/>
    <w:rPr>
      <w:rFonts w:ascii="Arial" w:eastAsia="Arial" w:hAnsi="Arial" w:cs="Arial"/>
      <w:b/>
      <w:bCs/>
      <w:sz w:val="22"/>
      <w:szCs w:val="22"/>
    </w:rPr>
  </w:style>
  <w:style w:type="character" w:customStyle="1" w:styleId="Heading7Char">
    <w:name w:val="Heading 7 Char"/>
    <w:basedOn w:val="DefaultParagraphFont"/>
    <w:uiPriority w:val="9"/>
    <w:rPr>
      <w:rFonts w:ascii="Arial" w:eastAsia="Arial" w:hAnsi="Arial" w:cs="Arial"/>
      <w:b/>
      <w:bCs/>
      <w:i/>
      <w:iCs/>
      <w:sz w:val="22"/>
      <w:szCs w:val="22"/>
    </w:rPr>
  </w:style>
  <w:style w:type="character" w:customStyle="1" w:styleId="Heading8Char">
    <w:name w:val="Heading 8 Char"/>
    <w:basedOn w:val="DefaultParagraphFont"/>
    <w:uiPriority w:val="9"/>
    <w:rPr>
      <w:rFonts w:ascii="Arial" w:eastAsia="Arial" w:hAnsi="Arial" w:cs="Arial"/>
      <w:i/>
      <w:iCs/>
      <w:sz w:val="22"/>
      <w:szCs w:val="22"/>
    </w:rPr>
  </w:style>
  <w:style w:type="character" w:customStyle="1" w:styleId="Heading9Char">
    <w:name w:val="Heading 9 Char"/>
    <w:basedOn w:val="DefaultParagraphFont"/>
    <w:uiPriority w:val="9"/>
    <w:rPr>
      <w:rFonts w:ascii="Arial" w:eastAsia="Arial" w:hAnsi="Arial" w:cs="Arial"/>
      <w:i/>
      <w:iCs/>
      <w:sz w:val="21"/>
      <w:szCs w:val="21"/>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Heading1Char1">
    <w:name w:val="Heading 1 Char1"/>
    <w:basedOn w:val="DefaultParagraphFont"/>
    <w:link w:val="Heading1"/>
    <w:uiPriority w:val="9"/>
    <w:rPr>
      <w:rFonts w:ascii="Arial" w:eastAsia="Arial" w:hAnsi="Arial" w:cs="Arial"/>
      <w:sz w:val="40"/>
      <w:szCs w:val="40"/>
    </w:rPr>
  </w:style>
  <w:style w:type="character" w:customStyle="1" w:styleId="Heading2Char1">
    <w:name w:val="Heading 2 Char1"/>
    <w:basedOn w:val="DefaultParagraphFont"/>
    <w:link w:val="Heading2"/>
    <w:uiPriority w:val="9"/>
    <w:rPr>
      <w:rFonts w:ascii="Arial" w:eastAsia="Arial" w:hAnsi="Arial" w:cs="Arial"/>
      <w:sz w:val="34"/>
    </w:rPr>
  </w:style>
  <w:style w:type="character" w:customStyle="1" w:styleId="Heading3Char1">
    <w:name w:val="Heading 3 Char1"/>
    <w:basedOn w:val="DefaultParagraphFont"/>
    <w:link w:val="Heading3"/>
    <w:uiPriority w:val="9"/>
    <w:rPr>
      <w:rFonts w:ascii="Arial" w:eastAsia="Arial" w:hAnsi="Arial" w:cs="Arial"/>
      <w:sz w:val="30"/>
      <w:szCs w:val="30"/>
    </w:rPr>
  </w:style>
  <w:style w:type="character" w:customStyle="1" w:styleId="Heading4Char1">
    <w:name w:val="Heading 4 Char1"/>
    <w:basedOn w:val="DefaultParagraphFont"/>
    <w:link w:val="Heading4"/>
    <w:uiPriority w:val="9"/>
    <w:rPr>
      <w:rFonts w:ascii="Arial" w:eastAsia="Arial" w:hAnsi="Arial" w:cs="Arial"/>
      <w:b/>
      <w:bCs/>
      <w:sz w:val="26"/>
      <w:szCs w:val="26"/>
    </w:rPr>
  </w:style>
  <w:style w:type="character" w:customStyle="1" w:styleId="Heading5Char1">
    <w:name w:val="Heading 5 Char1"/>
    <w:basedOn w:val="DefaultParagraphFont"/>
    <w:link w:val="Heading5"/>
    <w:uiPriority w:val="9"/>
    <w:rPr>
      <w:rFonts w:ascii="Arial" w:eastAsia="Arial" w:hAnsi="Arial" w:cs="Arial"/>
      <w:b/>
      <w:bCs/>
      <w:sz w:val="24"/>
      <w:szCs w:val="24"/>
    </w:rPr>
  </w:style>
  <w:style w:type="character" w:customStyle="1" w:styleId="Heading6Char1">
    <w:name w:val="Heading 6 Char1"/>
    <w:basedOn w:val="DefaultParagraphFont"/>
    <w:link w:val="Heading6"/>
    <w:uiPriority w:val="9"/>
    <w:rPr>
      <w:rFonts w:ascii="Arial" w:eastAsia="Arial" w:hAnsi="Arial" w:cs="Arial"/>
      <w:b/>
      <w:bCs/>
      <w:sz w:val="22"/>
      <w:szCs w:val="22"/>
    </w:rPr>
  </w:style>
  <w:style w:type="character" w:customStyle="1" w:styleId="Heading7Char1">
    <w:name w:val="Heading 7 Char1"/>
    <w:basedOn w:val="DefaultParagraphFont"/>
    <w:link w:val="Heading7"/>
    <w:uiPriority w:val="9"/>
    <w:rPr>
      <w:rFonts w:ascii="Arial" w:eastAsia="Arial" w:hAnsi="Arial" w:cs="Arial"/>
      <w:b/>
      <w:bCs/>
      <w:i/>
      <w:iCs/>
      <w:sz w:val="22"/>
      <w:szCs w:val="22"/>
    </w:rPr>
  </w:style>
  <w:style w:type="character" w:customStyle="1" w:styleId="Heading8Char1">
    <w:name w:val="Heading 8 Char1"/>
    <w:basedOn w:val="DefaultParagraphFont"/>
    <w:link w:val="Heading8"/>
    <w:uiPriority w:val="9"/>
    <w:rPr>
      <w:rFonts w:ascii="Arial" w:eastAsia="Arial" w:hAnsi="Arial" w:cs="Arial"/>
      <w:i/>
      <w:iCs/>
      <w:sz w:val="22"/>
      <w:szCs w:val="22"/>
    </w:rPr>
  </w:style>
  <w:style w:type="character" w:customStyle="1" w:styleId="Heading9Char1">
    <w:name w:val="Heading 9 Char1"/>
    <w:basedOn w:val="DefaultParagraphFont"/>
    <w:link w:val="Heading9"/>
    <w:uiPriority w:val="9"/>
    <w:rPr>
      <w:rFonts w:ascii="Arial" w:eastAsia="Arial" w:hAnsi="Arial" w:cs="Arial"/>
      <w:i/>
      <w:iCs/>
      <w:sz w:val="21"/>
      <w:szCs w:val="21"/>
    </w:rPr>
  </w:style>
  <w:style w:type="paragraph" w:styleId="NoSpacing">
    <w:name w:val="No Spacing"/>
    <w:uiPriority w:val="1"/>
    <w:qFormat/>
  </w:style>
  <w:style w:type="character" w:customStyle="1" w:styleId="TitleChar">
    <w:name w:val="Title Char"/>
    <w:basedOn w:val="DefaultParagraphFont"/>
    <w:uiPriority w:val="10"/>
    <w:rPr>
      <w:sz w:val="48"/>
      <w:szCs w:val="48"/>
    </w:rPr>
  </w:style>
  <w:style w:type="character" w:customStyle="1" w:styleId="SubtitleChar">
    <w:name w:val="Subtitle Char"/>
    <w:basedOn w:val="DefaultParagraphFont"/>
    <w:uiPriority w:val="11"/>
    <w:rPr>
      <w:sz w:val="24"/>
      <w:szCs w:val="24"/>
    </w:rPr>
  </w:style>
  <w:style w:type="paragraph" w:styleId="Quote">
    <w:name w:val="Quote"/>
    <w:basedOn w:val="Normal"/>
    <w:next w:val="Normal"/>
    <w:link w:val="QuoteChar1"/>
    <w:uiPriority w:val="29"/>
    <w:qFormat/>
    <w:pPr>
      <w:ind w:left="720" w:right="720"/>
    </w:pPr>
    <w:rPr>
      <w:i/>
    </w:rPr>
  </w:style>
  <w:style w:type="character" w:customStyle="1" w:styleId="QuoteChar1">
    <w:name w:val="Quote Char1"/>
    <w:link w:val="Quote"/>
    <w:uiPriority w:val="29"/>
    <w:rPr>
      <w:i/>
    </w:rPr>
  </w:style>
  <w:style w:type="paragraph" w:styleId="IntenseQuote">
    <w:name w:val="Intense Quote"/>
    <w:basedOn w:val="Normal"/>
    <w:next w:val="Normal"/>
    <w:link w:val="IntenseQuoteChar1"/>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1">
    <w:name w:val="Intense Quote Char1"/>
    <w:link w:val="IntenseQuote"/>
    <w:uiPriority w:val="30"/>
    <w:rPr>
      <w:i/>
    </w:rPr>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
    <w:name w:val="Grid Table 2 - Accent 1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auto" w:fill="FFFFFF"/>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auto" w:fill="FFFFFF"/>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auto"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EEBF6" w:themeFill="accent1" w:themeFillTint="32"/>
      </w:tcPr>
    </w:tblStylePr>
    <w:tblStylePr w:type="band1Horz">
      <w:rPr>
        <w:rFonts w:ascii="Arial" w:hAnsi="Arial"/>
        <w:color w:val="404040"/>
        <w:sz w:val="22"/>
      </w:rPr>
      <w:tblPr/>
      <w:tcPr>
        <w:shd w:val="clear" w:color="auto" w:fill="DEEBF6"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auto"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1" w:themeFillTint="34"/>
    </w:tblPr>
    <w:tblStylePr w:type="firstRow">
      <w:rPr>
        <w:rFonts w:ascii="Arial" w:hAnsi="Arial"/>
        <w:b/>
        <w:color w:val="FFFFFF"/>
        <w:sz w:val="22"/>
      </w:rPr>
      <w:tblPr/>
      <w:tcPr>
        <w:shd w:val="clear" w:color="auto" w:fill="5B9BD5" w:themeFill="accent1"/>
      </w:tcPr>
    </w:tblStylePr>
    <w:tblStylePr w:type="lastRow">
      <w:rPr>
        <w:rFonts w:ascii="Arial" w:hAnsi="Arial"/>
        <w:b/>
        <w:color w:val="FFFFFF"/>
        <w:sz w:val="22"/>
      </w:rPr>
      <w:tblPr/>
      <w:tcPr>
        <w:tcBorders>
          <w:top w:val="single" w:sz="4" w:space="0" w:color="FFFFFF" w:themeColor="light1"/>
        </w:tcBorders>
        <w:shd w:val="clear" w:color="auto" w:fill="5B9BD5" w:themeFill="accent1"/>
      </w:tcPr>
    </w:tblStylePr>
    <w:tblStylePr w:type="firstCol">
      <w:rPr>
        <w:rFonts w:ascii="Arial" w:hAnsi="Arial"/>
        <w:b/>
        <w:color w:val="FFFFFF"/>
        <w:sz w:val="22"/>
      </w:rPr>
      <w:tblPr/>
      <w:tcPr>
        <w:shd w:val="clear" w:color="auto" w:fill="5B9BD5" w:themeFill="accent1"/>
      </w:tcPr>
    </w:tblStylePr>
    <w:tblStylePr w:type="lastCol">
      <w:rPr>
        <w:rFonts w:ascii="Arial" w:hAnsi="Arial"/>
        <w:b/>
        <w:color w:val="FFFFFF"/>
        <w:sz w:val="22"/>
      </w:rPr>
      <w:tblPr/>
      <w:tcPr>
        <w:shd w:val="clear" w:color="auto" w:fill="5B9BD5" w:themeFill="accent1"/>
      </w:tcPr>
    </w:tblStylePr>
    <w:tblStylePr w:type="band1Vert">
      <w:tblPr/>
      <w:tcPr>
        <w:shd w:val="clear" w:color="auto" w:fill="B3D0EB" w:themeFill="accent1" w:themeFillTint="75"/>
      </w:tcPr>
    </w:tblStylePr>
    <w:tblStylePr w:type="band1Horz">
      <w:tblPr/>
      <w:tcPr>
        <w:shd w:val="clear" w:color="auto" w:fill="B3D0EB" w:themeFill="accent1" w:themeFillTint="75"/>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5" w:themeFillTint="34"/>
    </w:tblPr>
    <w:tblStylePr w:type="firstRow">
      <w:rPr>
        <w:rFonts w:ascii="Arial" w:hAnsi="Arial"/>
        <w:b/>
        <w:color w:val="FFFFFF"/>
        <w:sz w:val="22"/>
      </w:rPr>
      <w:tblPr/>
      <w:tcPr>
        <w:shd w:val="clear" w:color="auto" w:fill="4472C4" w:themeFill="accent5"/>
      </w:tcPr>
    </w:tblStylePr>
    <w:tblStylePr w:type="lastRow">
      <w:rPr>
        <w:rFonts w:ascii="Arial" w:hAnsi="Arial"/>
        <w:b/>
        <w:color w:val="FFFFFF"/>
        <w:sz w:val="22"/>
      </w:rPr>
      <w:tblPr/>
      <w:tcPr>
        <w:tcBorders>
          <w:top w:val="single" w:sz="4" w:space="0" w:color="FFFFFF" w:themeColor="light1"/>
        </w:tcBorders>
        <w:shd w:val="clear" w:color="auto" w:fill="4472C4" w:themeFill="accent5"/>
      </w:tcPr>
    </w:tblStylePr>
    <w:tblStylePr w:type="firstCol">
      <w:rPr>
        <w:rFonts w:ascii="Arial" w:hAnsi="Arial"/>
        <w:b/>
        <w:color w:val="FFFFFF"/>
        <w:sz w:val="22"/>
      </w:rPr>
      <w:tblPr/>
      <w:tcPr>
        <w:shd w:val="clear" w:color="auto" w:fill="4472C4" w:themeFill="accent5"/>
      </w:tcPr>
    </w:tblStylePr>
    <w:tblStylePr w:type="lastCol">
      <w:rPr>
        <w:rFonts w:ascii="Arial" w:hAnsi="Arial"/>
        <w:b/>
        <w:color w:val="FFFFFF"/>
        <w:sz w:val="22"/>
      </w:rPr>
      <w:tblPr/>
      <w:tcPr>
        <w:shd w:val="clear" w:color="auto" w:fill="4472C4" w:themeFill="accent5"/>
      </w:tcPr>
    </w:tblStylePr>
    <w:tblStylePr w:type="band1Vert">
      <w:tblPr/>
      <w:tcPr>
        <w:shd w:val="clear" w:color="auto" w:fill="A9BEE4" w:themeFill="accent5" w:themeFillTint="75"/>
      </w:tcPr>
    </w:tblStylePr>
    <w:tblStylePr w:type="band1Horz">
      <w:tblPr/>
      <w:tcPr>
        <w:shd w:val="clear" w:color="auto" w:fill="A9BEE4"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u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E1EFD8" w:themeFill="accent6" w:themeFillTint="34"/>
      </w:tcPr>
    </w:tblStylePr>
    <w:tblStylePr w:type="band1Horz">
      <w:rPr>
        <w:rFonts w:ascii="Arial" w:hAnsi="Arial"/>
        <w:color w:val="254175" w:themeColor="accent5" w:themeShade="95"/>
        <w:sz w:val="22"/>
      </w:rPr>
      <w:tblPr/>
      <w:tcPr>
        <w:shd w:val="clear" w:color="auto" w:fill="E1EFD8" w:themeFill="accent6" w:themeFillTint="34"/>
      </w:tcPr>
    </w:tblStylePr>
    <w:tblStylePr w:type="band2Horz">
      <w:rPr>
        <w:rFonts w:ascii="Arial" w:hAnsi="Arial"/>
        <w:color w:val="254175" w:themeColor="accent5" w:themeShade="95"/>
        <w:sz w:val="22"/>
      </w:rPr>
    </w:tblStylePr>
  </w:style>
  <w:style w:type="table" w:styleId="GridTable7Colou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auto"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auto" w:fill="FFFFFF"/>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auto" w:fill="FFFFFF"/>
      </w:tc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auto"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auto" w:fill="FFFFFF"/>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auto" w:fill="FFFFFF"/>
      </w:tc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1" w:themeFillTint="40"/>
      </w:tcPr>
    </w:tblStylePr>
    <w:tblStylePr w:type="band1Horz">
      <w:tblPr/>
      <w:tcPr>
        <w:shd w:val="clear" w:color="auto" w:fill="D5E5F4"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5" w:themeFillTint="40"/>
      </w:tcPr>
    </w:tblStylePr>
    <w:tblStylePr w:type="band1Horz">
      <w:tblPr/>
      <w:tcPr>
        <w:shd w:val="clear" w:color="auto" w:fill="CFDBF0"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auto"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
    <w:name w:val="List Table 4 - Accent 11"/>
    <w:basedOn w:val="Table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auto"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auto"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auto"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auto"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5B9BD5" w:themeFill="accent1"/>
      </w:tcPr>
    </w:tblStylePr>
    <w:tblStylePr w:type="band2Horz">
      <w:tblPr/>
      <w:tcPr>
        <w:tcBorders>
          <w:top w:val="single" w:sz="4" w:space="0" w:color="FFFFFF" w:themeColor="light1"/>
          <w:bottom w:val="single" w:sz="4" w:space="0" w:color="FFFFFF" w:themeColor="light1"/>
        </w:tcBorders>
        <w:shd w:val="clear" w:color="auto" w:fill="5B9BD5"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auto"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auto"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auto"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8DA9DB" w:themeFill="accent5" w:themeFillTint="9A"/>
      </w:tcPr>
    </w:tblStylePr>
    <w:tblStylePr w:type="band2Horz">
      <w:tblPr/>
      <w:tcPr>
        <w:tcBorders>
          <w:top w:val="single" w:sz="4" w:space="0" w:color="FFFFFF" w:themeColor="light1"/>
          <w:bottom w:val="single" w:sz="4" w:space="0" w:color="FFFFFF" w:themeColor="light1"/>
        </w:tcBorders>
        <w:shd w:val="clear" w:color="auto" w:fill="8DA9DB"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u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u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auto"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auto" w:fill="FFFFFF"/>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auto" w:fill="FFFFFF"/>
      </w:tc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auto"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auto" w:fill="FFFFFF"/>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auto" w:fill="FFFFFF"/>
      </w:tc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Lined-Accent2">
    <w:name w:val="Lined - Accent 2"/>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Lined-Accent6">
    <w:name w:val="Lined - Accent 6"/>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 w:val="20"/>
      <w:szCs w:val="20"/>
      <w:lang w:eastAsia="de-DE"/>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BorderedLined-Accent2">
    <w:name w:val="Bordered &amp; Lined - Accent 2"/>
    <w:basedOn w:val="TableNormal"/>
    <w:uiPriority w:val="99"/>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 w:val="20"/>
      <w:szCs w:val="20"/>
      <w:lang w:eastAsia="de-DE"/>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BorderedLined-Accent6">
    <w:name w:val="Bordered &amp; Lined - Accent 6"/>
    <w:basedOn w:val="TableNormal"/>
    <w:uiPriority w:val="99"/>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yperlink">
    <w:name w:val="Hyperlink"/>
    <w:uiPriority w:val="99"/>
    <w:unhideWhenUsed/>
    <w:rPr>
      <w:color w:val="0563C1" w:themeColor="hyperlink"/>
      <w:u w:val="single"/>
    </w:rPr>
  </w:style>
  <w:style w:type="paragraph" w:styleId="FootnoteText">
    <w:name w:val="footnote text"/>
    <w:basedOn w:val="Normal"/>
    <w:link w:val="FootnoteTextChar1"/>
    <w:uiPriority w:val="99"/>
    <w:semiHidden/>
    <w:unhideWhenUsed/>
    <w:pPr>
      <w:spacing w:after="40"/>
    </w:pPr>
    <w:rPr>
      <w:sz w:val="18"/>
    </w:rPr>
  </w:style>
  <w:style w:type="character" w:customStyle="1" w:styleId="FootnoteTextChar1">
    <w:name w:val="Footnote Text Char1"/>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customStyle="1" w:styleId="H1Title">
    <w:name w:val="H1 Title"/>
    <w:basedOn w:val="Normal"/>
    <w:qFormat/>
    <w:rPr>
      <w:rFonts w:ascii="Avenir Black" w:hAnsi="Avenir Black" w:cs="Arial"/>
      <w:b/>
      <w:bCs/>
      <w:color w:val="5B9BD5" w:themeColor="accent1"/>
      <w:sz w:val="24"/>
    </w:rPr>
  </w:style>
  <w:style w:type="paragraph" w:customStyle="1" w:styleId="H2Title">
    <w:name w:val="H2 Title"/>
    <w:basedOn w:val="H1Title"/>
    <w:qFormat/>
    <w:pPr>
      <w:spacing w:line="360" w:lineRule="auto"/>
    </w:pPr>
    <w:rPr>
      <w:rFonts w:ascii="Avenir Book" w:hAnsi="Avenir Book"/>
      <w:bCs w:val="0"/>
      <w:color w:val="024EA2"/>
    </w:rPr>
  </w:style>
  <w:style w:type="paragraph" w:customStyle="1" w:styleId="H2Subtitle">
    <w:name w:val="H2 Subtitle"/>
    <w:basedOn w:val="Normal"/>
    <w:qFormat/>
    <w:pPr>
      <w:spacing w:line="360" w:lineRule="auto"/>
    </w:pPr>
    <w:rPr>
      <w:rFonts w:cs="Arial"/>
      <w:bCs/>
      <w:color w:val="000000" w:themeColor="text1"/>
      <w:sz w:val="18"/>
    </w:rPr>
  </w:style>
  <w:style w:type="paragraph" w:customStyle="1" w:styleId="H3Title">
    <w:name w:val="H3 Title"/>
    <w:basedOn w:val="Normal"/>
    <w:qFormat/>
    <w:pPr>
      <w:spacing w:before="240" w:line="360" w:lineRule="auto"/>
    </w:pPr>
    <w:rPr>
      <w:rFonts w:cs="Arial"/>
      <w:b/>
      <w:bCs/>
      <w:color w:val="024EA2"/>
    </w:rPr>
  </w:style>
  <w:style w:type="paragraph" w:customStyle="1" w:styleId="Bulletlist">
    <w:name w:val="Bullet list"/>
    <w:basedOn w:val="Normal"/>
    <w:qFormat/>
    <w:pPr>
      <w:ind w:left="567"/>
    </w:pPr>
    <w:rPr>
      <w:lang w:val="en-AU"/>
    </w:rPr>
  </w:style>
  <w:style w:type="paragraph" w:styleId="Revision">
    <w:name w:val="Revision"/>
    <w:hidden/>
    <w:uiPriority w:val="99"/>
    <w:semiHidden/>
    <w:rPr>
      <w:rFonts w:ascii="Avenir Book" w:hAnsi="Avenir Book"/>
    </w:rPr>
  </w:style>
  <w:style w:type="paragraph" w:styleId="Header">
    <w:name w:val="header"/>
    <w:basedOn w:val="Normal"/>
    <w:link w:val="HeaderChar1"/>
    <w:uiPriority w:val="99"/>
    <w:unhideWhenUsed/>
    <w:pPr>
      <w:tabs>
        <w:tab w:val="center" w:pos="4536"/>
        <w:tab w:val="right" w:pos="9072"/>
      </w:tabs>
    </w:pPr>
  </w:style>
  <w:style w:type="character" w:customStyle="1" w:styleId="HeaderChar1">
    <w:name w:val="Header Char1"/>
    <w:basedOn w:val="DefaultParagraphFont"/>
    <w:link w:val="Header"/>
    <w:uiPriority w:val="99"/>
    <w:rPr>
      <w:rFonts w:ascii="Avenir Book" w:hAnsi="Avenir Book"/>
      <w:color w:val="3C3F42"/>
      <w:sz w:val="15"/>
    </w:rPr>
  </w:style>
  <w:style w:type="paragraph" w:styleId="Footer">
    <w:name w:val="footer"/>
    <w:basedOn w:val="Normal"/>
    <w:link w:val="FooterChar1"/>
    <w:uiPriority w:val="99"/>
    <w:unhideWhenUsed/>
    <w:pPr>
      <w:tabs>
        <w:tab w:val="center" w:pos="4680"/>
        <w:tab w:val="right" w:pos="9360"/>
      </w:tabs>
    </w:pPr>
  </w:style>
  <w:style w:type="character" w:customStyle="1" w:styleId="FooterChar1">
    <w:name w:val="Footer Char1"/>
    <w:basedOn w:val="DefaultParagraphFont"/>
    <w:link w:val="Footer"/>
    <w:uiPriority w:val="99"/>
    <w:rPr>
      <w:rFonts w:ascii="Avenir Book" w:hAnsi="Avenir Book"/>
      <w:color w:val="3C3F42"/>
      <w:sz w:val="15"/>
    </w:rPr>
  </w:style>
  <w:style w:type="character" w:customStyle="1" w:styleId="SubtitleChar1">
    <w:name w:val="Subtitle Char1"/>
    <w:basedOn w:val="DefaultParagraphFont"/>
    <w:link w:val="Subtitle"/>
    <w:uiPriority w:val="11"/>
    <w:rPr>
      <w:rFonts w:eastAsia="Calibri"/>
      <w:color w:val="5A5A5A" w:themeColor="text1" w:themeTint="A5"/>
      <w:spacing w:val="15"/>
      <w:sz w:val="22"/>
      <w:szCs w:val="22"/>
    </w:rPr>
  </w:style>
  <w:style w:type="character" w:customStyle="1" w:styleId="TitleChar1">
    <w:name w:val="Title Char1"/>
    <w:basedOn w:val="DefaultParagraphFont"/>
    <w:link w:val="Title"/>
    <w:uiPriority w:val="10"/>
    <w:rPr>
      <w:rFonts w:ascii="Calibri Light" w:eastAsia="Calibri Light" w:hAnsi="Calibri Light" w:cs="Calibri Light"/>
      <w:spacing w:val="-10"/>
      <w:sz w:val="56"/>
      <w:szCs w:val="56"/>
    </w:rPr>
  </w:style>
  <w:style w:type="paragraph" w:styleId="ListParagraph">
    <w:name w:val="List Paragraph"/>
    <w:basedOn w:val="Normal"/>
    <w:uiPriority w:val="34"/>
    <w:pPr>
      <w:ind w:left="720"/>
      <w:contextualSpacing/>
    </w:pPr>
  </w:style>
  <w:style w:type="paragraph" w:styleId="Subtitle">
    <w:name w:val="Subtitle"/>
    <w:basedOn w:val="Normal"/>
    <w:next w:val="Normal"/>
    <w:link w:val="SubtitleChar1"/>
    <w:uiPriority w:val="11"/>
    <w:qFormat/>
    <w:pPr>
      <w:spacing w:after="160"/>
    </w:pPr>
    <w:rPr>
      <w:rFonts w:ascii="Calibri" w:eastAsia="Calibri" w:hAnsi="Calibri" w:cs="Calibri"/>
      <w:color w:val="5A5A5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eur-lex.europa.eu/eli/reg/2023/2854/oj/eng" TargetMode="External"/><Relationship Id="rId13" Type="http://schemas.openxmlformats.org/officeDocument/2006/relationships/hyperlink" Target="https://ec.europa.eu/eurostat/statistics-explained/index.php?title=Towards_Digital_Decade_targets_for_Europe" TargetMode="External"/><Relationship Id="rId18" Type="http://schemas.openxmlformats.org/officeDocument/2006/relationships/hyperlink" Target="https://www.eea.europa.eu/en/european-zero-pollution-dashboards/indicators/waste-electrical-and-electronic-equipment-weee-collection-rate-indicator?utm_source=chatgpt.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europarl.europa.eu/RegData/etudes/BRIE/2016/581999/EPRS_BRI(2016)581999_EN.pdf?utm_source=chatgpt.com" TargetMode="External"/><Relationship Id="rId7" Type="http://schemas.openxmlformats.org/officeDocument/2006/relationships/endnotes" Target="endnotes.xml"/><Relationship Id="rId12" Type="http://schemas.openxmlformats.org/officeDocument/2006/relationships/hyperlink" Target="https://digital-strategy.ec.europa.eu/en/policies/digital-skills" TargetMode="External"/><Relationship Id="rId17" Type="http://schemas.openxmlformats.org/officeDocument/2006/relationships/hyperlink" Target="https://www.datacenterdynamics.com/en/analysis/re-use-refurb-recycle-circular-economy-thinking-and-data-center-it-assets/?utm_source=chatgpt.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tu.int/en/mediacentre/Pages/PR-2024-03-20-e-waste-recycling.aspx?utm_source=chatgpt.com" TargetMode="External"/><Relationship Id="rId20" Type="http://schemas.openxmlformats.org/officeDocument/2006/relationships/hyperlink" Target="https://single-market-economy.ec.europa.eu/sectors/raw-materials/areas-specific-interest/critical-raw-materials/critical-raw-materials-act_en?utm_source=chatgp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lex.europa.eu/legal-content/EN/TXT/PDF/?uri=OJ:L_202401689"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wastemonitor.info/the-global-e-waste-monitor-2024/?utm_source=chatgpt.com" TargetMode="External"/><Relationship Id="rId23" Type="http://schemas.openxmlformats.org/officeDocument/2006/relationships/header" Target="header1.xml"/><Relationship Id="rId10" Type="http://schemas.openxmlformats.org/officeDocument/2006/relationships/hyperlink" Target="https://www.iso.org/obp/ui/en/" TargetMode="External"/><Relationship Id="rId19" Type="http://schemas.openxmlformats.org/officeDocument/2006/relationships/hyperlink" Target="https://www.mdpi.com/1420-3049/29/19/4624?utm_source=chatgpt.com" TargetMode="External"/><Relationship Id="rId4" Type="http://schemas.openxmlformats.org/officeDocument/2006/relationships/settings" Target="settings.xml"/><Relationship Id="rId9" Type="http://schemas.openxmlformats.org/officeDocument/2006/relationships/hyperlink" Target="https://digital-strategy.ec.europa.eu/en/factpages/data-act-explained" TargetMode="External"/><Relationship Id="rId14" Type="http://schemas.openxmlformats.org/officeDocument/2006/relationships/hyperlink" Target="https://unece.org/sites/default/files/2025-08/GEEE-12.2025.INF_.2%20-%20Sustainability_data.centres.pdf?utm_source=chatgpt.com" TargetMode="External"/><Relationship Id="rId22" Type="http://schemas.openxmlformats.org/officeDocument/2006/relationships/hyperlink" Target="https://www.europarl.europa.eu/RegData/etudes/BRIE/2016/581999/EPRS_BRI(2016)581999_EN.pdf"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PoxiqH1fmcpo9T2JrD+qPPO8FA==">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5066</Words>
  <Characters>28879</Characters>
  <Application>Microsoft Office Word</Application>
  <DocSecurity>0</DocSecurity>
  <Lines>240</Lines>
  <Paragraphs>67</Paragraphs>
  <ScaleCrop>false</ScaleCrop>
  <Company/>
  <LinksUpToDate>false</LinksUpToDate>
  <CharactersWithSpaces>33878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gu95zev</dc:creator>
  <cp:lastModifiedBy>Danit Niwattananan</cp:lastModifiedBy>
  <cp:revision>4</cp:revision>
  <dcterms:created xsi:type="dcterms:W3CDTF">2022-02-21T14:10:00Z</dcterms:created>
  <dcterms:modified xsi:type="dcterms:W3CDTF">2025-10-01T11:54:00Z</dcterms:modified>
</cp:coreProperties>
</file>